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361" w:rsidRPr="0043165A" w:rsidRDefault="00840361" w:rsidP="00873167">
      <w:pPr>
        <w:rPr>
          <w:rFonts w:ascii="Times New Roman" w:hAnsi="Times New Roman" w:cs="Times New Roman"/>
          <w:sz w:val="32"/>
          <w:szCs w:val="24"/>
        </w:rPr>
      </w:pPr>
      <w:bookmarkStart w:id="0" w:name="_GoBack"/>
      <w:bookmarkEnd w:id="0"/>
    </w:p>
    <w:p w:rsidR="00840361" w:rsidRPr="0043165A" w:rsidRDefault="00840361" w:rsidP="00873167">
      <w:pPr>
        <w:rPr>
          <w:rFonts w:ascii="Times New Roman" w:hAnsi="Times New Roman" w:cs="Times New Roman"/>
          <w:b/>
          <w:sz w:val="32"/>
          <w:szCs w:val="24"/>
          <w:u w:val="single"/>
        </w:rPr>
      </w:pPr>
    </w:p>
    <w:p w:rsidR="00840361" w:rsidRPr="0043165A" w:rsidRDefault="00840361" w:rsidP="00873167">
      <w:pPr>
        <w:rPr>
          <w:rFonts w:ascii="Times New Roman" w:hAnsi="Times New Roman" w:cs="Times New Roman"/>
          <w:b/>
          <w:sz w:val="32"/>
          <w:szCs w:val="24"/>
          <w:u w:val="single"/>
        </w:rPr>
      </w:pPr>
    </w:p>
    <w:p w:rsidR="00840361" w:rsidRPr="0043165A" w:rsidRDefault="00840361" w:rsidP="00873167">
      <w:pPr>
        <w:rPr>
          <w:rFonts w:ascii="Times New Roman" w:hAnsi="Times New Roman" w:cs="Times New Roman"/>
          <w:b/>
          <w:sz w:val="32"/>
          <w:szCs w:val="24"/>
          <w:u w:val="single"/>
        </w:rPr>
      </w:pPr>
    </w:p>
    <w:p w:rsidR="00840361" w:rsidRDefault="00840361" w:rsidP="00873167">
      <w:pPr>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 xml:space="preserve">SAVING YOUR CLIENTS’. . . . </w:t>
      </w:r>
    </w:p>
    <w:p w:rsidR="00840361" w:rsidRDefault="00840361" w:rsidP="00873167">
      <w:pPr>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RETIREMENT SAVINGS --</w:t>
      </w:r>
    </w:p>
    <w:p w:rsidR="00840361" w:rsidRPr="0043165A" w:rsidRDefault="00840361" w:rsidP="00873167">
      <w:pPr>
        <w:jc w:val="center"/>
        <w:rPr>
          <w:rFonts w:ascii="Times New Roman" w:hAnsi="Times New Roman" w:cs="Times New Roman"/>
          <w:sz w:val="32"/>
          <w:szCs w:val="24"/>
        </w:rPr>
      </w:pPr>
      <w:r>
        <w:rPr>
          <w:rFonts w:ascii="Times New Roman" w:hAnsi="Times New Roman" w:cs="Times New Roman"/>
          <w:b/>
          <w:sz w:val="32"/>
          <w:szCs w:val="24"/>
          <w:u w:val="single"/>
        </w:rPr>
        <w:t xml:space="preserve">RECENT DEVELOPMENTS IN </w:t>
      </w:r>
      <w:r w:rsidRPr="0043165A">
        <w:rPr>
          <w:rFonts w:ascii="Times New Roman" w:hAnsi="Times New Roman" w:cs="Times New Roman"/>
          <w:b/>
          <w:sz w:val="32"/>
          <w:szCs w:val="24"/>
          <w:u w:val="single"/>
        </w:rPr>
        <w:t xml:space="preserve">ESTATE PLANNING FOR RETIREMENT </w:t>
      </w:r>
      <w:r>
        <w:rPr>
          <w:rFonts w:ascii="Times New Roman" w:hAnsi="Times New Roman" w:cs="Times New Roman"/>
          <w:b/>
          <w:sz w:val="32"/>
          <w:szCs w:val="24"/>
          <w:u w:val="single"/>
        </w:rPr>
        <w:t>ASSETS</w:t>
      </w:r>
    </w:p>
    <w:p w:rsidR="00840361" w:rsidRPr="0043165A" w:rsidRDefault="00840361" w:rsidP="00873167">
      <w:pPr>
        <w:spacing w:after="0" w:line="200" w:lineRule="exact"/>
        <w:rPr>
          <w:rFonts w:ascii="Times New Roman" w:hAnsi="Times New Roman" w:cs="Times New Roman"/>
          <w:sz w:val="28"/>
          <w:szCs w:val="28"/>
        </w:rPr>
      </w:pPr>
    </w:p>
    <w:p w:rsidR="00840361" w:rsidRDefault="00840361" w:rsidP="00873167">
      <w:pPr>
        <w:spacing w:after="0" w:line="200" w:lineRule="exact"/>
        <w:rPr>
          <w:rFonts w:ascii="Times New Roman" w:hAnsi="Times New Roman" w:cs="Times New Roman"/>
          <w:sz w:val="28"/>
          <w:szCs w:val="28"/>
        </w:rPr>
      </w:pPr>
    </w:p>
    <w:p w:rsidR="001B2793" w:rsidRPr="0043165A" w:rsidRDefault="001B2793" w:rsidP="00873167">
      <w:pPr>
        <w:spacing w:after="0" w:line="200" w:lineRule="exact"/>
        <w:rPr>
          <w:rFonts w:ascii="Times New Roman" w:hAnsi="Times New Roman" w:cs="Times New Roman"/>
          <w:sz w:val="28"/>
          <w:szCs w:val="28"/>
        </w:rPr>
      </w:pPr>
    </w:p>
    <w:p w:rsidR="00DA053B" w:rsidRDefault="00575541" w:rsidP="00A60F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0079C">
        <w:rPr>
          <w:rFonts w:ascii="Times New Roman" w:eastAsia="Times New Roman" w:hAnsi="Times New Roman" w:cs="Times New Roman"/>
          <w:sz w:val="28"/>
          <w:szCs w:val="28"/>
        </w:rPr>
        <w:tab/>
        <w:t xml:space="preserve">     St. Louis, Missouri</w:t>
      </w:r>
    </w:p>
    <w:p w:rsidR="00530A08" w:rsidRDefault="0040079C" w:rsidP="0087316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January 23, 2017</w:t>
      </w:r>
    </w:p>
    <w:p w:rsidR="00840361" w:rsidRPr="00624775" w:rsidRDefault="00840361" w:rsidP="00873167">
      <w:pPr>
        <w:spacing w:before="5" w:after="0" w:line="190" w:lineRule="exact"/>
        <w:rPr>
          <w:rFonts w:ascii="Times New Roman" w:hAnsi="Times New Roman" w:cs="Times New Roman"/>
          <w:sz w:val="28"/>
          <w:szCs w:val="28"/>
        </w:rPr>
      </w:pPr>
    </w:p>
    <w:p w:rsidR="00840361" w:rsidRPr="00624775" w:rsidRDefault="00840361" w:rsidP="00873167">
      <w:pPr>
        <w:spacing w:after="0" w:line="200" w:lineRule="exact"/>
        <w:rPr>
          <w:rFonts w:ascii="Times New Roman" w:hAnsi="Times New Roman" w:cs="Times New Roman"/>
          <w:sz w:val="28"/>
          <w:szCs w:val="28"/>
        </w:rPr>
      </w:pPr>
    </w:p>
    <w:p w:rsidR="00840361" w:rsidRPr="00624775" w:rsidRDefault="00840361" w:rsidP="00873167">
      <w:pPr>
        <w:spacing w:after="0" w:line="200" w:lineRule="exact"/>
        <w:rPr>
          <w:rFonts w:ascii="Times New Roman" w:hAnsi="Times New Roman" w:cs="Times New Roman"/>
          <w:sz w:val="28"/>
          <w:szCs w:val="28"/>
        </w:rPr>
      </w:pPr>
    </w:p>
    <w:p w:rsidR="00840361" w:rsidRPr="00624775" w:rsidRDefault="00840361" w:rsidP="00873167">
      <w:pPr>
        <w:spacing w:after="0" w:line="200" w:lineRule="exact"/>
        <w:rPr>
          <w:rFonts w:ascii="Times New Roman" w:hAnsi="Times New Roman" w:cs="Times New Roman"/>
          <w:sz w:val="28"/>
          <w:szCs w:val="28"/>
        </w:rPr>
      </w:pPr>
    </w:p>
    <w:p w:rsidR="00840361" w:rsidRPr="00624775" w:rsidRDefault="00840361" w:rsidP="00873167">
      <w:pPr>
        <w:spacing w:after="0" w:line="240" w:lineRule="auto"/>
        <w:jc w:val="center"/>
        <w:rPr>
          <w:rFonts w:ascii="Times New Roman" w:eastAsia="Times New Roman" w:hAnsi="Times New Roman" w:cs="Times New Roman"/>
          <w:sz w:val="28"/>
          <w:szCs w:val="28"/>
        </w:rPr>
      </w:pPr>
      <w:r w:rsidRPr="00624775">
        <w:rPr>
          <w:rFonts w:ascii="Times New Roman" w:eastAsia="Times New Roman" w:hAnsi="Times New Roman" w:cs="Times New Roman"/>
          <w:w w:val="113"/>
          <w:sz w:val="28"/>
          <w:szCs w:val="28"/>
        </w:rPr>
        <w:t>Robert</w:t>
      </w:r>
      <w:r w:rsidRPr="00624775">
        <w:rPr>
          <w:rFonts w:ascii="Times New Roman" w:eastAsia="Times New Roman" w:hAnsi="Times New Roman" w:cs="Times New Roman"/>
          <w:spacing w:val="-15"/>
          <w:w w:val="113"/>
          <w:sz w:val="28"/>
          <w:szCs w:val="28"/>
        </w:rPr>
        <w:t xml:space="preserve"> </w:t>
      </w:r>
      <w:r w:rsidRPr="00624775">
        <w:rPr>
          <w:rFonts w:ascii="Times New Roman" w:eastAsia="Arial" w:hAnsi="Times New Roman" w:cs="Times New Roman"/>
          <w:w w:val="113"/>
          <w:sz w:val="28"/>
          <w:szCs w:val="28"/>
        </w:rPr>
        <w:t>K.</w:t>
      </w:r>
      <w:r w:rsidRPr="00624775">
        <w:rPr>
          <w:rFonts w:ascii="Times New Roman" w:eastAsia="Arial" w:hAnsi="Times New Roman" w:cs="Times New Roman"/>
          <w:spacing w:val="12"/>
          <w:w w:val="113"/>
          <w:sz w:val="28"/>
          <w:szCs w:val="28"/>
        </w:rPr>
        <w:t xml:space="preserve"> </w:t>
      </w:r>
      <w:r w:rsidRPr="00624775">
        <w:rPr>
          <w:rFonts w:ascii="Times New Roman" w:eastAsia="Times New Roman" w:hAnsi="Times New Roman" w:cs="Times New Roman"/>
          <w:w w:val="113"/>
          <w:sz w:val="28"/>
          <w:szCs w:val="28"/>
        </w:rPr>
        <w:t>Kirkland</w:t>
      </w:r>
    </w:p>
    <w:p w:rsidR="00840361" w:rsidRPr="00624775" w:rsidRDefault="00840361" w:rsidP="00873167">
      <w:pPr>
        <w:spacing w:before="6" w:after="0" w:line="240" w:lineRule="auto"/>
        <w:jc w:val="center"/>
        <w:rPr>
          <w:rFonts w:ascii="Times New Roman" w:eastAsia="Times New Roman" w:hAnsi="Times New Roman" w:cs="Times New Roman"/>
          <w:sz w:val="28"/>
          <w:szCs w:val="28"/>
        </w:rPr>
      </w:pPr>
      <w:r w:rsidRPr="00624775">
        <w:rPr>
          <w:rFonts w:ascii="Times New Roman" w:eastAsia="Times New Roman" w:hAnsi="Times New Roman" w:cs="Times New Roman"/>
          <w:w w:val="113"/>
          <w:sz w:val="28"/>
          <w:szCs w:val="28"/>
        </w:rPr>
        <w:t>Kirkland</w:t>
      </w:r>
      <w:r w:rsidRPr="00624775">
        <w:rPr>
          <w:rFonts w:ascii="Times New Roman" w:eastAsia="Times New Roman" w:hAnsi="Times New Roman" w:cs="Times New Roman"/>
          <w:spacing w:val="8"/>
          <w:w w:val="113"/>
          <w:sz w:val="28"/>
          <w:szCs w:val="28"/>
        </w:rPr>
        <w:t xml:space="preserve"> </w:t>
      </w:r>
      <w:r w:rsidRPr="00624775">
        <w:rPr>
          <w:rFonts w:ascii="Times New Roman" w:eastAsia="Times New Roman" w:hAnsi="Times New Roman" w:cs="Times New Roman"/>
          <w:sz w:val="28"/>
          <w:szCs w:val="28"/>
        </w:rPr>
        <w:t>Woods</w:t>
      </w:r>
      <w:r w:rsidRPr="00624775">
        <w:rPr>
          <w:rFonts w:ascii="Times New Roman" w:eastAsia="Times New Roman" w:hAnsi="Times New Roman" w:cs="Times New Roman"/>
          <w:spacing w:val="45"/>
          <w:sz w:val="28"/>
          <w:szCs w:val="28"/>
        </w:rPr>
        <w:t xml:space="preserve"> </w:t>
      </w:r>
      <w:r w:rsidRPr="00624775">
        <w:rPr>
          <w:rFonts w:ascii="Times New Roman" w:eastAsia="Times New Roman" w:hAnsi="Times New Roman" w:cs="Times New Roman"/>
          <w:sz w:val="28"/>
          <w:szCs w:val="28"/>
        </w:rPr>
        <w:t>&amp;</w:t>
      </w:r>
      <w:r w:rsidRPr="00624775">
        <w:rPr>
          <w:rFonts w:ascii="Times New Roman" w:eastAsia="Times New Roman" w:hAnsi="Times New Roman" w:cs="Times New Roman"/>
          <w:spacing w:val="22"/>
          <w:sz w:val="28"/>
          <w:szCs w:val="28"/>
        </w:rPr>
        <w:t xml:space="preserve"> </w:t>
      </w:r>
      <w:r w:rsidRPr="00624775">
        <w:rPr>
          <w:rFonts w:ascii="Times New Roman" w:eastAsia="Times New Roman" w:hAnsi="Times New Roman" w:cs="Times New Roman"/>
          <w:w w:val="113"/>
          <w:sz w:val="28"/>
          <w:szCs w:val="28"/>
        </w:rPr>
        <w:t>Martinsen</w:t>
      </w:r>
      <w:r w:rsidRPr="00624775">
        <w:rPr>
          <w:rFonts w:ascii="Times New Roman" w:eastAsia="Times New Roman" w:hAnsi="Times New Roman" w:cs="Times New Roman"/>
          <w:spacing w:val="-5"/>
          <w:w w:val="113"/>
          <w:sz w:val="28"/>
          <w:szCs w:val="28"/>
        </w:rPr>
        <w:t xml:space="preserve"> </w:t>
      </w:r>
      <w:r w:rsidRPr="00624775">
        <w:rPr>
          <w:rFonts w:ascii="Times New Roman" w:eastAsia="Times New Roman" w:hAnsi="Times New Roman" w:cs="Times New Roman"/>
          <w:w w:val="113"/>
          <w:sz w:val="28"/>
          <w:szCs w:val="28"/>
        </w:rPr>
        <w:t>PC</w:t>
      </w:r>
    </w:p>
    <w:p w:rsidR="00840361" w:rsidRPr="00624775" w:rsidRDefault="00840361" w:rsidP="00873167">
      <w:pPr>
        <w:spacing w:before="13" w:after="0" w:line="240" w:lineRule="auto"/>
        <w:jc w:val="center"/>
        <w:rPr>
          <w:rFonts w:ascii="Times New Roman" w:eastAsia="Times New Roman" w:hAnsi="Times New Roman" w:cs="Times New Roman"/>
          <w:sz w:val="28"/>
          <w:szCs w:val="28"/>
        </w:rPr>
      </w:pPr>
      <w:r w:rsidRPr="00624775">
        <w:rPr>
          <w:rFonts w:ascii="Times New Roman" w:eastAsia="Times New Roman" w:hAnsi="Times New Roman" w:cs="Times New Roman"/>
          <w:sz w:val="28"/>
          <w:szCs w:val="28"/>
        </w:rPr>
        <w:t>132</w:t>
      </w:r>
      <w:r w:rsidRPr="00624775">
        <w:rPr>
          <w:rFonts w:ascii="Times New Roman" w:eastAsia="Times New Roman" w:hAnsi="Times New Roman" w:cs="Times New Roman"/>
          <w:spacing w:val="38"/>
          <w:sz w:val="28"/>
          <w:szCs w:val="28"/>
        </w:rPr>
        <w:t xml:space="preserve"> </w:t>
      </w:r>
      <w:r w:rsidRPr="00624775">
        <w:rPr>
          <w:rFonts w:ascii="Times New Roman" w:eastAsia="Times New Roman" w:hAnsi="Times New Roman" w:cs="Times New Roman"/>
          <w:sz w:val="28"/>
          <w:szCs w:val="28"/>
        </w:rPr>
        <w:t xml:space="preserve">Westwoods </w:t>
      </w:r>
      <w:r w:rsidRPr="00624775">
        <w:rPr>
          <w:rFonts w:ascii="Times New Roman" w:eastAsia="Times New Roman" w:hAnsi="Times New Roman" w:cs="Times New Roman"/>
          <w:w w:val="109"/>
          <w:sz w:val="28"/>
          <w:szCs w:val="28"/>
        </w:rPr>
        <w:t>Drive</w:t>
      </w:r>
    </w:p>
    <w:p w:rsidR="00840361" w:rsidRPr="00624775" w:rsidRDefault="00840361" w:rsidP="00873167">
      <w:pPr>
        <w:spacing w:before="13" w:after="0" w:line="240" w:lineRule="auto"/>
        <w:jc w:val="center"/>
        <w:rPr>
          <w:rFonts w:ascii="Times New Roman" w:eastAsia="Times New Roman" w:hAnsi="Times New Roman" w:cs="Times New Roman"/>
          <w:sz w:val="28"/>
          <w:szCs w:val="28"/>
        </w:rPr>
      </w:pPr>
      <w:r w:rsidRPr="00624775">
        <w:rPr>
          <w:rFonts w:ascii="Times New Roman" w:eastAsia="Times New Roman" w:hAnsi="Times New Roman" w:cs="Times New Roman"/>
          <w:w w:val="113"/>
          <w:sz w:val="28"/>
          <w:szCs w:val="28"/>
        </w:rPr>
        <w:t>Liberty,</w:t>
      </w:r>
      <w:r w:rsidRPr="00624775">
        <w:rPr>
          <w:rFonts w:ascii="Times New Roman" w:eastAsia="Times New Roman" w:hAnsi="Times New Roman" w:cs="Times New Roman"/>
          <w:spacing w:val="-10"/>
          <w:w w:val="113"/>
          <w:sz w:val="28"/>
          <w:szCs w:val="28"/>
        </w:rPr>
        <w:t xml:space="preserve"> </w:t>
      </w:r>
      <w:r w:rsidRPr="00624775">
        <w:rPr>
          <w:rFonts w:ascii="Times New Roman" w:eastAsia="Times New Roman" w:hAnsi="Times New Roman" w:cs="Times New Roman"/>
          <w:sz w:val="28"/>
          <w:szCs w:val="28"/>
        </w:rPr>
        <w:t xml:space="preserve">MO </w:t>
      </w:r>
      <w:r w:rsidRPr="00624775">
        <w:rPr>
          <w:rFonts w:ascii="Times New Roman" w:eastAsia="Times New Roman" w:hAnsi="Times New Roman" w:cs="Times New Roman"/>
          <w:spacing w:val="49"/>
          <w:sz w:val="28"/>
          <w:szCs w:val="28"/>
        </w:rPr>
        <w:t xml:space="preserve"> </w:t>
      </w:r>
      <w:r w:rsidRPr="00624775">
        <w:rPr>
          <w:rFonts w:ascii="Times New Roman" w:eastAsia="Times New Roman" w:hAnsi="Times New Roman" w:cs="Times New Roman"/>
          <w:w w:val="104"/>
          <w:sz w:val="28"/>
          <w:szCs w:val="28"/>
        </w:rPr>
        <w:t>64068</w:t>
      </w:r>
    </w:p>
    <w:p w:rsidR="00840361" w:rsidRPr="00624775" w:rsidRDefault="00840361" w:rsidP="00873167">
      <w:pPr>
        <w:spacing w:before="13" w:after="0" w:line="240" w:lineRule="auto"/>
        <w:jc w:val="center"/>
        <w:rPr>
          <w:rFonts w:ascii="Times New Roman" w:eastAsia="Times New Roman" w:hAnsi="Times New Roman" w:cs="Times New Roman"/>
          <w:sz w:val="28"/>
          <w:szCs w:val="28"/>
        </w:rPr>
      </w:pPr>
      <w:r w:rsidRPr="00624775">
        <w:rPr>
          <w:rFonts w:ascii="Times New Roman" w:eastAsia="Times New Roman" w:hAnsi="Times New Roman" w:cs="Times New Roman"/>
          <w:w w:val="110"/>
          <w:sz w:val="28"/>
          <w:szCs w:val="28"/>
        </w:rPr>
        <w:t>Telephone:</w:t>
      </w:r>
      <w:r w:rsidRPr="00624775">
        <w:rPr>
          <w:rFonts w:ascii="Times New Roman" w:eastAsia="Times New Roman" w:hAnsi="Times New Roman" w:cs="Times New Roman"/>
          <w:spacing w:val="-37"/>
          <w:sz w:val="28"/>
          <w:szCs w:val="28"/>
        </w:rPr>
        <w:t xml:space="preserve"> </w:t>
      </w:r>
      <w:r w:rsidRPr="00624775">
        <w:rPr>
          <w:rFonts w:ascii="Times New Roman" w:eastAsia="Times New Roman" w:hAnsi="Times New Roman" w:cs="Times New Roman"/>
          <w:w w:val="104"/>
          <w:sz w:val="28"/>
          <w:szCs w:val="28"/>
        </w:rPr>
        <w:t>816-792-8300</w:t>
      </w:r>
    </w:p>
    <w:p w:rsidR="00840361" w:rsidRPr="00624775" w:rsidRDefault="00840361" w:rsidP="00873167">
      <w:pPr>
        <w:spacing w:before="13" w:after="0" w:line="240" w:lineRule="auto"/>
        <w:jc w:val="center"/>
        <w:rPr>
          <w:rFonts w:ascii="Times New Roman" w:eastAsia="Times New Roman" w:hAnsi="Times New Roman" w:cs="Times New Roman"/>
          <w:sz w:val="28"/>
          <w:szCs w:val="28"/>
        </w:rPr>
      </w:pPr>
      <w:r w:rsidRPr="00624775">
        <w:rPr>
          <w:rFonts w:ascii="Times New Roman" w:eastAsia="Times New Roman" w:hAnsi="Times New Roman" w:cs="Times New Roman"/>
          <w:w w:val="109"/>
          <w:sz w:val="28"/>
          <w:szCs w:val="28"/>
        </w:rPr>
        <w:t>Facsimile:</w:t>
      </w:r>
      <w:r w:rsidRPr="00624775">
        <w:rPr>
          <w:rFonts w:ascii="Times New Roman" w:eastAsia="Times New Roman" w:hAnsi="Times New Roman" w:cs="Times New Roman"/>
          <w:spacing w:val="-37"/>
          <w:sz w:val="28"/>
          <w:szCs w:val="28"/>
        </w:rPr>
        <w:t xml:space="preserve"> </w:t>
      </w:r>
      <w:r w:rsidRPr="00624775">
        <w:rPr>
          <w:rFonts w:ascii="Times New Roman" w:eastAsia="Times New Roman" w:hAnsi="Times New Roman" w:cs="Times New Roman"/>
          <w:w w:val="104"/>
          <w:sz w:val="28"/>
          <w:szCs w:val="28"/>
        </w:rPr>
        <w:t>816-792-3337</w:t>
      </w:r>
    </w:p>
    <w:p w:rsidR="00840361" w:rsidRPr="00624775" w:rsidRDefault="00840361" w:rsidP="00873167">
      <w:pPr>
        <w:spacing w:before="13" w:after="0" w:line="240" w:lineRule="auto"/>
        <w:jc w:val="center"/>
        <w:rPr>
          <w:rFonts w:ascii="Times New Roman" w:eastAsia="Times New Roman" w:hAnsi="Times New Roman" w:cs="Times New Roman"/>
          <w:sz w:val="28"/>
          <w:szCs w:val="28"/>
        </w:rPr>
      </w:pPr>
      <w:r w:rsidRPr="00624775">
        <w:rPr>
          <w:rFonts w:ascii="Times New Roman" w:eastAsia="Times New Roman" w:hAnsi="Times New Roman" w:cs="Times New Roman"/>
          <w:w w:val="108"/>
          <w:sz w:val="28"/>
          <w:szCs w:val="28"/>
        </w:rPr>
        <w:t>E-mail:</w:t>
      </w:r>
      <w:r w:rsidRPr="00624775">
        <w:rPr>
          <w:rFonts w:ascii="Times New Roman" w:eastAsia="Times New Roman" w:hAnsi="Times New Roman" w:cs="Times New Roman"/>
          <w:spacing w:val="-1"/>
          <w:w w:val="108"/>
          <w:sz w:val="28"/>
          <w:szCs w:val="28"/>
        </w:rPr>
        <w:t xml:space="preserve"> </w:t>
      </w:r>
      <w:hyperlink r:id="rId7" w:history="1">
        <w:r w:rsidRPr="00624775">
          <w:rPr>
            <w:rFonts w:ascii="Times New Roman" w:eastAsia="Times New Roman" w:hAnsi="Times New Roman" w:cs="Times New Roman"/>
            <w:w w:val="108"/>
            <w:sz w:val="28"/>
            <w:szCs w:val="28"/>
          </w:rPr>
          <w:t>bkirkland@kwm-law.com</w:t>
        </w:r>
      </w:hyperlink>
    </w:p>
    <w:p w:rsidR="00840361" w:rsidRDefault="00840361" w:rsidP="00873167">
      <w:pPr>
        <w:spacing w:before="13" w:after="0" w:line="240" w:lineRule="auto"/>
        <w:jc w:val="center"/>
        <w:rPr>
          <w:rFonts w:ascii="Times New Roman" w:eastAsia="Times New Roman" w:hAnsi="Times New Roman" w:cs="Times New Roman"/>
          <w:w w:val="105"/>
          <w:sz w:val="28"/>
          <w:szCs w:val="28"/>
        </w:rPr>
      </w:pPr>
      <w:r w:rsidRPr="00624775">
        <w:rPr>
          <w:rFonts w:ascii="Times New Roman" w:eastAsia="Times New Roman" w:hAnsi="Times New Roman" w:cs="Times New Roman"/>
          <w:w w:val="105"/>
          <w:sz w:val="28"/>
          <w:szCs w:val="28"/>
        </w:rPr>
        <w:t xml:space="preserve">Website: </w:t>
      </w:r>
      <w:r w:rsidRPr="00624775">
        <w:rPr>
          <w:rFonts w:ascii="Times New Roman" w:eastAsia="Times New Roman" w:hAnsi="Times New Roman" w:cs="Times New Roman"/>
          <w:spacing w:val="8"/>
          <w:w w:val="105"/>
          <w:sz w:val="28"/>
          <w:szCs w:val="28"/>
        </w:rPr>
        <w:t xml:space="preserve"> </w:t>
      </w:r>
      <w:hyperlink r:id="rId8" w:history="1">
        <w:r w:rsidRPr="00624775">
          <w:rPr>
            <w:rFonts w:ascii="Times New Roman" w:eastAsia="Times New Roman" w:hAnsi="Times New Roman" w:cs="Times New Roman"/>
            <w:w w:val="105"/>
            <w:sz w:val="28"/>
            <w:szCs w:val="28"/>
          </w:rPr>
          <w:t>www.kwm-law.com</w:t>
        </w:r>
      </w:hyperlink>
    </w:p>
    <w:p w:rsidR="00840361" w:rsidRDefault="00840361" w:rsidP="00840361">
      <w:pPr>
        <w:spacing w:after="0" w:line="240" w:lineRule="auto"/>
        <w:jc w:val="center"/>
        <w:rPr>
          <w:rFonts w:ascii="Times New Roman" w:eastAsia="Times New Roman" w:hAnsi="Times New Roman" w:cs="Times New Roman"/>
          <w:sz w:val="28"/>
          <w:szCs w:val="28"/>
        </w:rPr>
      </w:pPr>
    </w:p>
    <w:p w:rsidR="00840361" w:rsidRDefault="00840361" w:rsidP="00840361">
      <w:pPr>
        <w:spacing w:after="0" w:line="240" w:lineRule="auto"/>
        <w:jc w:val="center"/>
        <w:rPr>
          <w:rFonts w:ascii="Times New Roman" w:eastAsia="Times New Roman" w:hAnsi="Times New Roman" w:cs="Times New Roman"/>
          <w:sz w:val="28"/>
          <w:szCs w:val="28"/>
        </w:rPr>
      </w:pPr>
    </w:p>
    <w:p w:rsidR="001B2793" w:rsidRDefault="001B2793" w:rsidP="00840361">
      <w:pPr>
        <w:widowControl/>
        <w:rPr>
          <w:rFonts w:ascii="Times New Roman" w:eastAsia="Times New Roman" w:hAnsi="Times New Roman" w:cs="Times New Roman"/>
          <w:w w:val="103"/>
          <w:sz w:val="24"/>
          <w:szCs w:val="28"/>
        </w:rPr>
        <w:sectPr w:rsidR="001B2793" w:rsidSect="00B56FA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2160" w:header="720" w:footer="720" w:gutter="0"/>
          <w:cols w:space="720"/>
          <w:titlePg/>
          <w:docGrid w:linePitch="360"/>
        </w:sectPr>
      </w:pPr>
    </w:p>
    <w:p w:rsidR="00840361" w:rsidRPr="00821285" w:rsidRDefault="00840361" w:rsidP="001F3F53">
      <w:pPr>
        <w:pStyle w:val="ListParagraph"/>
        <w:numPr>
          <w:ilvl w:val="0"/>
          <w:numId w:val="6"/>
        </w:numPr>
        <w:spacing w:after="0" w:line="480" w:lineRule="auto"/>
        <w:ind w:left="0" w:firstLine="720"/>
        <w:jc w:val="both"/>
        <w:rPr>
          <w:rFonts w:ascii="Times New Roman" w:eastAsia="Times New Roman" w:hAnsi="Times New Roman" w:cs="Times New Roman"/>
          <w:w w:val="103"/>
          <w:sz w:val="28"/>
          <w:szCs w:val="28"/>
        </w:rPr>
      </w:pPr>
      <w:r w:rsidRPr="00821285">
        <w:rPr>
          <w:rFonts w:ascii="Times New Roman" w:eastAsia="Times New Roman" w:hAnsi="Times New Roman" w:cs="Times New Roman"/>
          <w:w w:val="103"/>
          <w:sz w:val="28"/>
          <w:szCs w:val="28"/>
        </w:rPr>
        <w:lastRenderedPageBreak/>
        <w:t>INTRODUCTION</w:t>
      </w:r>
    </w:p>
    <w:p w:rsidR="00840361" w:rsidRPr="00821285" w:rsidRDefault="00840361" w:rsidP="001F3F53">
      <w:pPr>
        <w:pStyle w:val="ListParagraph"/>
        <w:numPr>
          <w:ilvl w:val="0"/>
          <w:numId w:val="4"/>
        </w:numPr>
        <w:tabs>
          <w:tab w:val="left" w:pos="720"/>
        </w:tabs>
        <w:spacing w:after="0" w:line="480" w:lineRule="auto"/>
        <w:ind w:left="0" w:firstLine="1440"/>
        <w:jc w:val="both"/>
        <w:rPr>
          <w:rFonts w:ascii="Times New Roman" w:eastAsia="Times New Roman" w:hAnsi="Times New Roman" w:cs="Times New Roman"/>
          <w:w w:val="104"/>
          <w:sz w:val="28"/>
          <w:szCs w:val="28"/>
        </w:rPr>
      </w:pPr>
      <w:r w:rsidRPr="00821285">
        <w:rPr>
          <w:rFonts w:ascii="Times New Roman" w:eastAsia="Times New Roman" w:hAnsi="Times New Roman" w:cs="Times New Roman"/>
          <w:w w:val="104"/>
          <w:sz w:val="28"/>
          <w:szCs w:val="28"/>
        </w:rPr>
        <w:t>If you take a step back and honestly assess the portion of total estate planning time spent for a client on planning for the client’s retirement benefits, do you feel it is proportionately appropriate?</w:t>
      </w:r>
    </w:p>
    <w:p w:rsidR="00840361" w:rsidRPr="00821285" w:rsidRDefault="00840361" w:rsidP="001F3F53">
      <w:pPr>
        <w:pStyle w:val="ListParagraph"/>
        <w:numPr>
          <w:ilvl w:val="0"/>
          <w:numId w:val="4"/>
        </w:numPr>
        <w:tabs>
          <w:tab w:val="left" w:pos="720"/>
        </w:tabs>
        <w:spacing w:after="0" w:line="480" w:lineRule="auto"/>
        <w:ind w:left="0" w:firstLine="1440"/>
        <w:jc w:val="both"/>
        <w:rPr>
          <w:rFonts w:ascii="Times New Roman" w:eastAsia="Times New Roman" w:hAnsi="Times New Roman" w:cs="Times New Roman"/>
          <w:w w:val="104"/>
          <w:sz w:val="28"/>
          <w:szCs w:val="28"/>
        </w:rPr>
      </w:pPr>
      <w:r w:rsidRPr="00821285">
        <w:rPr>
          <w:rFonts w:ascii="Times New Roman" w:eastAsia="Times New Roman" w:hAnsi="Times New Roman" w:cs="Times New Roman"/>
          <w:w w:val="104"/>
          <w:sz w:val="28"/>
          <w:szCs w:val="28"/>
        </w:rPr>
        <w:t xml:space="preserve">Prior to 2010, one could argue that, due to the relative estate/gift tax rates and exemptions then applicable and the number of clients to which the estate/gift tax applied, the majority of our planning time was necessarily focused on estate and gift tax planning techniques, to the </w:t>
      </w:r>
      <w:r>
        <w:rPr>
          <w:rFonts w:ascii="Times New Roman" w:eastAsia="Times New Roman" w:hAnsi="Times New Roman" w:cs="Times New Roman"/>
          <w:w w:val="104"/>
          <w:sz w:val="28"/>
          <w:szCs w:val="28"/>
        </w:rPr>
        <w:t xml:space="preserve">potential </w:t>
      </w:r>
      <w:r w:rsidRPr="00821285">
        <w:rPr>
          <w:rFonts w:ascii="Times New Roman" w:eastAsia="Times New Roman" w:hAnsi="Times New Roman" w:cs="Times New Roman"/>
          <w:w w:val="104"/>
          <w:sz w:val="28"/>
          <w:szCs w:val="28"/>
        </w:rPr>
        <w:t xml:space="preserve">detriment of appropriately considering the </w:t>
      </w:r>
      <w:r>
        <w:rPr>
          <w:rFonts w:ascii="Times New Roman" w:eastAsia="Times New Roman" w:hAnsi="Times New Roman" w:cs="Times New Roman"/>
          <w:w w:val="104"/>
          <w:sz w:val="28"/>
          <w:szCs w:val="28"/>
        </w:rPr>
        <w:t>planning options with respect to</w:t>
      </w:r>
      <w:r w:rsidRPr="00821285">
        <w:rPr>
          <w:rFonts w:ascii="Times New Roman" w:eastAsia="Times New Roman" w:hAnsi="Times New Roman" w:cs="Times New Roman"/>
          <w:w w:val="104"/>
          <w:sz w:val="28"/>
          <w:szCs w:val="28"/>
        </w:rPr>
        <w:t xml:space="preserve"> retirement benefits.</w:t>
      </w:r>
    </w:p>
    <w:p w:rsidR="00840361" w:rsidRPr="00821285" w:rsidRDefault="00946D4C" w:rsidP="001F3F53">
      <w:pPr>
        <w:tabs>
          <w:tab w:val="left" w:pos="720"/>
        </w:tabs>
        <w:spacing w:after="0" w:line="480" w:lineRule="auto"/>
        <w:ind w:firstLine="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Pr>
          <w:rFonts w:ascii="Times New Roman" w:eastAsia="Times New Roman" w:hAnsi="Times New Roman" w:cs="Times New Roman"/>
          <w:sz w:val="28"/>
          <w:szCs w:val="28"/>
        </w:rPr>
        <w:tab/>
        <w:t>I</w:t>
      </w:r>
      <w:r w:rsidR="00840361" w:rsidRPr="00821285">
        <w:rPr>
          <w:rFonts w:ascii="Times New Roman" w:eastAsia="Times New Roman" w:hAnsi="Times New Roman" w:cs="Times New Roman"/>
          <w:sz w:val="28"/>
          <w:szCs w:val="28"/>
        </w:rPr>
        <w:t xml:space="preserve"> wish to make the case that, in the current tax law environment, planners should spend a disproportionate amount of planning time with respect to clients’ retirement benefits.</w:t>
      </w:r>
    </w:p>
    <w:p w:rsidR="00840361" w:rsidRPr="00821285" w:rsidRDefault="00840361" w:rsidP="001F3F53">
      <w:pPr>
        <w:pStyle w:val="ListParagraph"/>
        <w:numPr>
          <w:ilvl w:val="0"/>
          <w:numId w:val="5"/>
        </w:numPr>
        <w:tabs>
          <w:tab w:val="left" w:pos="720"/>
          <w:tab w:val="left" w:pos="1440"/>
        </w:tabs>
        <w:spacing w:after="0" w:line="480" w:lineRule="auto"/>
        <w:ind w:left="0" w:firstLine="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the Urban-Brookings Tax Policy Center, t</w:t>
      </w:r>
      <w:r w:rsidRPr="00821285">
        <w:rPr>
          <w:rFonts w:ascii="Times New Roman" w:eastAsia="Times New Roman" w:hAnsi="Times New Roman" w:cs="Times New Roman"/>
          <w:sz w:val="28"/>
          <w:szCs w:val="28"/>
        </w:rPr>
        <w:t xml:space="preserve">he current estate and gift tax rates and exemptions impact only </w:t>
      </w:r>
      <w:r>
        <w:rPr>
          <w:rFonts w:ascii="Times New Roman" w:eastAsia="Times New Roman" w:hAnsi="Times New Roman" w:cs="Times New Roman"/>
          <w:sz w:val="28"/>
          <w:szCs w:val="28"/>
        </w:rPr>
        <w:t>.15</w:t>
      </w:r>
      <w:r w:rsidRPr="00821285">
        <w:rPr>
          <w:rFonts w:ascii="Times New Roman" w:eastAsia="Times New Roman" w:hAnsi="Times New Roman" w:cs="Times New Roman"/>
          <w:sz w:val="28"/>
          <w:szCs w:val="28"/>
        </w:rPr>
        <w:t>% of the U.S. population in general.</w:t>
      </w:r>
    </w:p>
    <w:p w:rsidR="00840361" w:rsidRPr="00821285" w:rsidRDefault="00840361" w:rsidP="001F3F53">
      <w:pPr>
        <w:pStyle w:val="ListParagraph"/>
        <w:numPr>
          <w:ilvl w:val="0"/>
          <w:numId w:val="5"/>
        </w:numPr>
        <w:tabs>
          <w:tab w:val="left" w:pos="720"/>
          <w:tab w:val="left" w:pos="1440"/>
        </w:tabs>
        <w:spacing w:after="0" w:line="480" w:lineRule="auto"/>
        <w:ind w:left="0" w:firstLine="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the contrary, a</w:t>
      </w:r>
      <w:r w:rsidRPr="00821285">
        <w:rPr>
          <w:rFonts w:ascii="Times New Roman" w:eastAsia="Times New Roman" w:hAnsi="Times New Roman" w:cs="Times New Roman"/>
          <w:sz w:val="28"/>
          <w:szCs w:val="28"/>
        </w:rPr>
        <w:t>lmost every client we encounter in the planning context has a retirement plan interest of sufficient size to warrant a greater amount of our attention.</w:t>
      </w:r>
    </w:p>
    <w:p w:rsidR="00840361" w:rsidRPr="00821285" w:rsidRDefault="00840361" w:rsidP="001F3F53">
      <w:pPr>
        <w:tabs>
          <w:tab w:val="left" w:pos="720"/>
        </w:tabs>
        <w:spacing w:after="0" w:line="480" w:lineRule="auto"/>
        <w:ind w:firstLine="1440"/>
        <w:jc w:val="both"/>
        <w:rPr>
          <w:rFonts w:ascii="Times New Roman" w:eastAsia="Times New Roman" w:hAnsi="Times New Roman" w:cs="Times New Roman"/>
          <w:sz w:val="28"/>
          <w:szCs w:val="28"/>
        </w:rPr>
      </w:pPr>
      <w:r w:rsidRPr="00821285">
        <w:rPr>
          <w:rFonts w:ascii="Times New Roman" w:eastAsia="Times New Roman" w:hAnsi="Times New Roman" w:cs="Times New Roman"/>
          <w:sz w:val="28"/>
          <w:szCs w:val="28"/>
        </w:rPr>
        <w:t>D.</w:t>
      </w:r>
      <w:r w:rsidRPr="00821285">
        <w:rPr>
          <w:rFonts w:ascii="Times New Roman" w:eastAsia="Times New Roman" w:hAnsi="Times New Roman" w:cs="Times New Roman"/>
          <w:sz w:val="28"/>
          <w:szCs w:val="28"/>
        </w:rPr>
        <w:tab/>
        <w:t xml:space="preserve">Let us remind ourselves why retirement benefits are so unique so </w:t>
      </w:r>
      <w:r w:rsidRPr="00821285">
        <w:rPr>
          <w:rFonts w:ascii="Times New Roman" w:eastAsia="Times New Roman" w:hAnsi="Times New Roman" w:cs="Times New Roman"/>
          <w:sz w:val="28"/>
          <w:szCs w:val="28"/>
        </w:rPr>
        <w:lastRenderedPageBreak/>
        <w:t>as to warrant a disproportionate amount of our planning time.</w:t>
      </w:r>
    </w:p>
    <w:p w:rsidR="00840361" w:rsidRPr="00821285" w:rsidRDefault="00840361" w:rsidP="001F3F53">
      <w:pPr>
        <w:pStyle w:val="ListParagraph"/>
        <w:numPr>
          <w:ilvl w:val="3"/>
          <w:numId w:val="5"/>
        </w:numPr>
        <w:spacing w:after="0" w:line="480" w:lineRule="auto"/>
        <w:ind w:left="0" w:firstLine="2160"/>
        <w:jc w:val="both"/>
        <w:rPr>
          <w:rFonts w:ascii="Times New Roman" w:eastAsia="Times New Roman" w:hAnsi="Times New Roman" w:cs="Times New Roman"/>
          <w:sz w:val="28"/>
          <w:szCs w:val="28"/>
        </w:rPr>
      </w:pPr>
      <w:r w:rsidRPr="00821285">
        <w:rPr>
          <w:rFonts w:ascii="Times New Roman" w:eastAsia="Times New Roman" w:hAnsi="Times New Roman" w:cs="Times New Roman"/>
          <w:sz w:val="28"/>
          <w:szCs w:val="28"/>
        </w:rPr>
        <w:t>During a participant’s life, retirement plan assets, while enjoying terrific income tax deferral options, remain “</w:t>
      </w:r>
      <w:r>
        <w:rPr>
          <w:rFonts w:ascii="Times New Roman" w:eastAsia="Times New Roman" w:hAnsi="Times New Roman" w:cs="Times New Roman"/>
          <w:sz w:val="28"/>
          <w:szCs w:val="28"/>
        </w:rPr>
        <w:t>preg</w:t>
      </w:r>
      <w:r w:rsidRPr="00821285">
        <w:rPr>
          <w:rFonts w:ascii="Times New Roman" w:eastAsia="Times New Roman" w:hAnsi="Times New Roman" w:cs="Times New Roman"/>
          <w:sz w:val="28"/>
          <w:szCs w:val="28"/>
        </w:rPr>
        <w:t>nant” with future income tax liability.</w:t>
      </w:r>
    </w:p>
    <w:p w:rsidR="00840361" w:rsidRPr="00821285" w:rsidRDefault="00840361" w:rsidP="001F3F53">
      <w:pPr>
        <w:pStyle w:val="ListParagraph"/>
        <w:numPr>
          <w:ilvl w:val="3"/>
          <w:numId w:val="5"/>
        </w:numPr>
        <w:spacing w:after="0" w:line="480" w:lineRule="auto"/>
        <w:ind w:left="0" w:firstLine="2160"/>
        <w:jc w:val="both"/>
        <w:rPr>
          <w:rFonts w:ascii="Times New Roman" w:eastAsia="Times New Roman" w:hAnsi="Times New Roman" w:cs="Times New Roman"/>
          <w:w w:val="104"/>
          <w:sz w:val="28"/>
          <w:szCs w:val="28"/>
        </w:rPr>
      </w:pPr>
      <w:r w:rsidRPr="00821285">
        <w:rPr>
          <w:rFonts w:ascii="Times New Roman" w:eastAsia="Times New Roman" w:hAnsi="Times New Roman" w:cs="Times New Roman"/>
          <w:w w:val="104"/>
          <w:sz w:val="28"/>
          <w:szCs w:val="28"/>
        </w:rPr>
        <w:t>Maximum funding of retirement plan assets are a very effective asset protection technique.</w:t>
      </w:r>
    </w:p>
    <w:p w:rsidR="00840361" w:rsidRPr="00821285" w:rsidRDefault="00840361" w:rsidP="001F3F53">
      <w:pPr>
        <w:pStyle w:val="ListParagraph"/>
        <w:numPr>
          <w:ilvl w:val="3"/>
          <w:numId w:val="5"/>
        </w:numPr>
        <w:spacing w:after="0" w:line="480" w:lineRule="auto"/>
        <w:ind w:left="0" w:firstLine="2160"/>
        <w:jc w:val="both"/>
        <w:rPr>
          <w:rFonts w:ascii="Times New Roman" w:eastAsia="Times New Roman" w:hAnsi="Times New Roman" w:cs="Times New Roman"/>
          <w:w w:val="104"/>
          <w:sz w:val="28"/>
          <w:szCs w:val="28"/>
        </w:rPr>
      </w:pPr>
      <w:r w:rsidRPr="00821285">
        <w:rPr>
          <w:rFonts w:ascii="Times New Roman" w:eastAsia="Times New Roman" w:hAnsi="Times New Roman" w:cs="Times New Roman"/>
          <w:w w:val="104"/>
          <w:sz w:val="28"/>
          <w:szCs w:val="28"/>
        </w:rPr>
        <w:t>The mere completion of a beneficiary designation form</w:t>
      </w:r>
      <w:r>
        <w:rPr>
          <w:rFonts w:ascii="Times New Roman" w:eastAsia="Times New Roman" w:hAnsi="Times New Roman" w:cs="Times New Roman"/>
          <w:w w:val="104"/>
          <w:sz w:val="28"/>
          <w:szCs w:val="28"/>
        </w:rPr>
        <w:t>, which happens on many occasions with the assistance of someone who provides no tax or planning advice whatsoever,</w:t>
      </w:r>
      <w:r w:rsidRPr="00821285">
        <w:rPr>
          <w:rFonts w:ascii="Times New Roman" w:eastAsia="Times New Roman" w:hAnsi="Times New Roman" w:cs="Times New Roman"/>
          <w:w w:val="104"/>
          <w:sz w:val="28"/>
          <w:szCs w:val="28"/>
        </w:rPr>
        <w:t xml:space="preserve"> greatly impacts the amount and the timing of income taxation on the distribution of these benefits.</w:t>
      </w:r>
    </w:p>
    <w:p w:rsidR="00840361" w:rsidRPr="00821285" w:rsidRDefault="00840361" w:rsidP="001F3F53">
      <w:pPr>
        <w:pStyle w:val="ListParagraph"/>
        <w:numPr>
          <w:ilvl w:val="3"/>
          <w:numId w:val="5"/>
        </w:numPr>
        <w:spacing w:after="0" w:line="480" w:lineRule="auto"/>
        <w:ind w:left="0" w:firstLine="2160"/>
        <w:jc w:val="both"/>
        <w:rPr>
          <w:rFonts w:ascii="Times New Roman" w:eastAsia="Times New Roman" w:hAnsi="Times New Roman" w:cs="Times New Roman"/>
          <w:w w:val="104"/>
          <w:sz w:val="28"/>
          <w:szCs w:val="28"/>
        </w:rPr>
      </w:pPr>
      <w:r w:rsidRPr="00821285">
        <w:rPr>
          <w:rFonts w:ascii="Times New Roman" w:eastAsia="Times New Roman" w:hAnsi="Times New Roman" w:cs="Times New Roman"/>
          <w:w w:val="104"/>
          <w:sz w:val="28"/>
          <w:szCs w:val="28"/>
        </w:rPr>
        <w:t xml:space="preserve">Unlike any other asset, directing retirement benefit assets </w:t>
      </w:r>
      <w:r w:rsidRPr="006F69DF">
        <w:rPr>
          <w:rFonts w:ascii="Times New Roman" w:eastAsia="Times New Roman" w:hAnsi="Times New Roman" w:cs="Times New Roman"/>
          <w:w w:val="104"/>
          <w:sz w:val="28"/>
          <w:szCs w:val="28"/>
          <w:u w:val="single"/>
        </w:rPr>
        <w:t>to a trust</w:t>
      </w:r>
      <w:r w:rsidRPr="00821285">
        <w:rPr>
          <w:rFonts w:ascii="Times New Roman" w:eastAsia="Times New Roman" w:hAnsi="Times New Roman" w:cs="Times New Roman"/>
          <w:w w:val="104"/>
          <w:sz w:val="28"/>
          <w:szCs w:val="28"/>
        </w:rPr>
        <w:t xml:space="preserve"> involves a myriad of complicated rules and planning implications</w:t>
      </w:r>
      <w:r>
        <w:rPr>
          <w:rFonts w:ascii="Times New Roman" w:eastAsia="Times New Roman" w:hAnsi="Times New Roman" w:cs="Times New Roman"/>
          <w:w w:val="104"/>
          <w:sz w:val="28"/>
          <w:szCs w:val="28"/>
        </w:rPr>
        <w:t xml:space="preserve">, as well as </w:t>
      </w:r>
      <w:r w:rsidRPr="00821285">
        <w:rPr>
          <w:rFonts w:ascii="Times New Roman" w:eastAsia="Times New Roman" w:hAnsi="Times New Roman" w:cs="Times New Roman"/>
          <w:w w:val="104"/>
          <w:sz w:val="28"/>
          <w:szCs w:val="28"/>
        </w:rPr>
        <w:t>potential non-sensical income tax results.</w:t>
      </w:r>
    </w:p>
    <w:p w:rsidR="00840361" w:rsidRDefault="00840361" w:rsidP="001F3F53">
      <w:pPr>
        <w:pStyle w:val="ListParagraph"/>
        <w:numPr>
          <w:ilvl w:val="3"/>
          <w:numId w:val="5"/>
        </w:numPr>
        <w:spacing w:after="0" w:line="480" w:lineRule="auto"/>
        <w:ind w:left="0" w:firstLine="2160"/>
        <w:jc w:val="both"/>
        <w:rPr>
          <w:rFonts w:ascii="Times New Roman" w:eastAsia="Times New Roman" w:hAnsi="Times New Roman" w:cs="Times New Roman"/>
          <w:w w:val="104"/>
          <w:sz w:val="28"/>
          <w:szCs w:val="28"/>
        </w:rPr>
      </w:pPr>
      <w:r>
        <w:rPr>
          <w:rFonts w:ascii="Times New Roman" w:eastAsia="Times New Roman" w:hAnsi="Times New Roman" w:cs="Times New Roman"/>
          <w:w w:val="104"/>
          <w:sz w:val="28"/>
          <w:szCs w:val="28"/>
        </w:rPr>
        <w:t>Unlike most items of inheritance, every dollar distributed from a qualified retirement plan to a non-charitable beneficiary is subject to income tax.</w:t>
      </w:r>
    </w:p>
    <w:p w:rsidR="00840361" w:rsidRPr="00821285" w:rsidRDefault="00840361" w:rsidP="001F3F53">
      <w:pPr>
        <w:pStyle w:val="ListParagraph"/>
        <w:numPr>
          <w:ilvl w:val="3"/>
          <w:numId w:val="5"/>
        </w:numPr>
        <w:spacing w:after="0" w:line="480" w:lineRule="auto"/>
        <w:ind w:left="0" w:firstLine="2160"/>
        <w:jc w:val="both"/>
        <w:rPr>
          <w:rFonts w:ascii="Times New Roman" w:eastAsia="Times New Roman" w:hAnsi="Times New Roman" w:cs="Times New Roman"/>
          <w:w w:val="104"/>
          <w:sz w:val="28"/>
          <w:szCs w:val="28"/>
        </w:rPr>
      </w:pPr>
      <w:r w:rsidRPr="00821285">
        <w:rPr>
          <w:rFonts w:ascii="Times New Roman" w:eastAsia="Times New Roman" w:hAnsi="Times New Roman" w:cs="Times New Roman"/>
          <w:w w:val="104"/>
          <w:sz w:val="28"/>
          <w:szCs w:val="28"/>
        </w:rPr>
        <w:t xml:space="preserve">In </w:t>
      </w:r>
      <w:r w:rsidRPr="006F69DF">
        <w:rPr>
          <w:rFonts w:ascii="Times New Roman" w:eastAsia="Times New Roman" w:hAnsi="Times New Roman" w:cs="Times New Roman"/>
          <w:w w:val="104"/>
          <w:sz w:val="28"/>
          <w:szCs w:val="28"/>
          <w:u w:val="single"/>
        </w:rPr>
        <w:t>some</w:t>
      </w:r>
      <w:r w:rsidRPr="00821285">
        <w:rPr>
          <w:rFonts w:ascii="Times New Roman" w:eastAsia="Times New Roman" w:hAnsi="Times New Roman" w:cs="Times New Roman"/>
          <w:w w:val="104"/>
          <w:sz w:val="28"/>
          <w:szCs w:val="28"/>
        </w:rPr>
        <w:t xml:space="preserve"> states, a </w:t>
      </w:r>
      <w:r w:rsidRPr="00A82219">
        <w:rPr>
          <w:rFonts w:ascii="Times New Roman" w:eastAsia="Times New Roman" w:hAnsi="Times New Roman" w:cs="Times New Roman"/>
          <w:w w:val="104"/>
          <w:sz w:val="28"/>
          <w:szCs w:val="28"/>
          <w:u w:val="single"/>
        </w:rPr>
        <w:t>beneficiary’s</w:t>
      </w:r>
      <w:r w:rsidRPr="00821285">
        <w:rPr>
          <w:rFonts w:ascii="Times New Roman" w:eastAsia="Times New Roman" w:hAnsi="Times New Roman" w:cs="Times New Roman"/>
          <w:w w:val="104"/>
          <w:sz w:val="28"/>
          <w:szCs w:val="28"/>
        </w:rPr>
        <w:t xml:space="preserve"> interest in a deceased participant’s retirement plan can continue to enjoy creditor protection.</w:t>
      </w:r>
    </w:p>
    <w:p w:rsidR="00840361" w:rsidRPr="00821285" w:rsidRDefault="00840361" w:rsidP="001F3F53">
      <w:pPr>
        <w:pStyle w:val="ListParagraph"/>
        <w:numPr>
          <w:ilvl w:val="3"/>
          <w:numId w:val="5"/>
        </w:numPr>
        <w:spacing w:after="0" w:line="480" w:lineRule="auto"/>
        <w:ind w:left="0" w:firstLine="2160"/>
        <w:jc w:val="both"/>
        <w:rPr>
          <w:rFonts w:ascii="Times New Roman" w:eastAsia="Times New Roman" w:hAnsi="Times New Roman" w:cs="Times New Roman"/>
          <w:w w:val="104"/>
          <w:sz w:val="28"/>
          <w:szCs w:val="28"/>
        </w:rPr>
      </w:pPr>
      <w:r w:rsidRPr="00821285">
        <w:rPr>
          <w:rFonts w:ascii="Times New Roman" w:eastAsia="Times New Roman" w:hAnsi="Times New Roman" w:cs="Times New Roman"/>
          <w:w w:val="104"/>
          <w:sz w:val="28"/>
          <w:szCs w:val="28"/>
        </w:rPr>
        <w:t>Retirement plan benefits open the door for a variety of proactive charitable planning techniques.</w:t>
      </w:r>
    </w:p>
    <w:p w:rsidR="00840361" w:rsidRDefault="00840361" w:rsidP="001F3F53">
      <w:pPr>
        <w:pStyle w:val="ListParagraph"/>
        <w:numPr>
          <w:ilvl w:val="3"/>
          <w:numId w:val="5"/>
        </w:numPr>
        <w:spacing w:after="0" w:line="480" w:lineRule="auto"/>
        <w:ind w:left="0" w:firstLine="2160"/>
        <w:jc w:val="both"/>
        <w:rPr>
          <w:rFonts w:ascii="Times New Roman" w:eastAsia="Times New Roman" w:hAnsi="Times New Roman" w:cs="Times New Roman"/>
          <w:w w:val="104"/>
          <w:sz w:val="28"/>
          <w:szCs w:val="28"/>
        </w:rPr>
      </w:pPr>
      <w:r w:rsidRPr="00821285">
        <w:rPr>
          <w:rFonts w:ascii="Times New Roman" w:eastAsia="Times New Roman" w:hAnsi="Times New Roman" w:cs="Times New Roman"/>
          <w:w w:val="104"/>
          <w:sz w:val="28"/>
          <w:szCs w:val="28"/>
        </w:rPr>
        <w:lastRenderedPageBreak/>
        <w:t xml:space="preserve">Absent expert intervention, much “estate planning for retirement benefits” may be done by non-professionals who have no idea </w:t>
      </w:r>
      <w:r>
        <w:rPr>
          <w:rFonts w:ascii="Times New Roman" w:eastAsia="Times New Roman" w:hAnsi="Times New Roman" w:cs="Times New Roman"/>
          <w:w w:val="104"/>
          <w:sz w:val="28"/>
          <w:szCs w:val="28"/>
        </w:rPr>
        <w:t xml:space="preserve">of </w:t>
      </w:r>
      <w:r w:rsidRPr="00821285">
        <w:rPr>
          <w:rFonts w:ascii="Times New Roman" w:eastAsia="Times New Roman" w:hAnsi="Times New Roman" w:cs="Times New Roman"/>
          <w:w w:val="104"/>
          <w:sz w:val="28"/>
          <w:szCs w:val="28"/>
        </w:rPr>
        <w:t>the income tax, estate tax, and distributive results they have inadvertently set in motion.</w:t>
      </w:r>
    </w:p>
    <w:p w:rsidR="00840361" w:rsidRDefault="00840361" w:rsidP="006A798F">
      <w:pPr>
        <w:pStyle w:val="ListParagraph"/>
        <w:numPr>
          <w:ilvl w:val="0"/>
          <w:numId w:val="39"/>
        </w:numPr>
        <w:tabs>
          <w:tab w:val="left" w:pos="720"/>
        </w:tabs>
        <w:spacing w:after="0" w:line="480" w:lineRule="auto"/>
        <w:ind w:left="0" w:firstLine="1440"/>
        <w:jc w:val="both"/>
        <w:rPr>
          <w:rFonts w:ascii="Times New Roman" w:eastAsia="Times New Roman" w:hAnsi="Times New Roman" w:cs="Times New Roman"/>
          <w:w w:val="104"/>
          <w:sz w:val="28"/>
          <w:szCs w:val="28"/>
        </w:rPr>
      </w:pPr>
      <w:r>
        <w:rPr>
          <w:rFonts w:ascii="Times New Roman" w:eastAsia="Times New Roman" w:hAnsi="Times New Roman" w:cs="Times New Roman"/>
          <w:w w:val="104"/>
          <w:sz w:val="28"/>
          <w:szCs w:val="28"/>
        </w:rPr>
        <w:t>All references in this outline to an IRA shall be deemed to refer to a non-Roth IRA, unless specifically provided otherwise.</w:t>
      </w:r>
    </w:p>
    <w:p w:rsidR="00840361" w:rsidRPr="00821285" w:rsidRDefault="00840361" w:rsidP="006A798F">
      <w:pPr>
        <w:pStyle w:val="Work1"/>
        <w:spacing w:after="0" w:line="480" w:lineRule="auto"/>
        <w:ind w:left="90" w:firstLine="630"/>
        <w:jc w:val="both"/>
        <w:rPr>
          <w:rFonts w:cs="Times New Roman"/>
          <w:sz w:val="28"/>
          <w:szCs w:val="28"/>
        </w:rPr>
      </w:pPr>
      <w:r w:rsidRPr="00821285">
        <w:rPr>
          <w:rFonts w:cs="Times New Roman"/>
          <w:sz w:val="28"/>
          <w:szCs w:val="28"/>
        </w:rPr>
        <w:t>DESIGNATION OF INDIVIDUALS AS BENEFICIARIES</w:t>
      </w:r>
      <w:r>
        <w:rPr>
          <w:rFonts w:cs="Times New Roman"/>
          <w:sz w:val="28"/>
          <w:szCs w:val="28"/>
        </w:rPr>
        <w:t xml:space="preserve"> OF QUALIFIED PLANS/IRAS</w:t>
      </w:r>
    </w:p>
    <w:p w:rsidR="00840361" w:rsidRPr="00821285" w:rsidRDefault="00840361" w:rsidP="006A798F">
      <w:pPr>
        <w:pStyle w:val="Work2"/>
        <w:spacing w:after="0" w:line="480" w:lineRule="auto"/>
        <w:ind w:left="0" w:firstLine="1440"/>
        <w:jc w:val="both"/>
        <w:rPr>
          <w:rFonts w:cs="Times New Roman"/>
          <w:sz w:val="28"/>
          <w:szCs w:val="28"/>
        </w:rPr>
      </w:pPr>
      <w:r w:rsidRPr="00821285">
        <w:rPr>
          <w:rFonts w:cs="Times New Roman"/>
          <w:sz w:val="28"/>
          <w:szCs w:val="28"/>
        </w:rPr>
        <w:t>Distribution Rules During Life and After Death</w:t>
      </w:r>
    </w:p>
    <w:p w:rsidR="00840361" w:rsidRPr="00821285" w:rsidRDefault="00840361" w:rsidP="006A798F">
      <w:pPr>
        <w:pStyle w:val="Work3"/>
        <w:spacing w:after="0" w:line="480" w:lineRule="auto"/>
        <w:ind w:left="0" w:firstLine="2160"/>
        <w:jc w:val="both"/>
        <w:rPr>
          <w:rFonts w:cs="Times New Roman"/>
          <w:sz w:val="28"/>
          <w:szCs w:val="28"/>
        </w:rPr>
      </w:pPr>
      <w:r w:rsidRPr="00821285">
        <w:rPr>
          <w:rFonts w:cs="Times New Roman"/>
          <w:sz w:val="28"/>
          <w:szCs w:val="28"/>
        </w:rPr>
        <w:t>Distributions During The Taxpayer’s Lifetime</w:t>
      </w:r>
    </w:p>
    <w:p w:rsidR="00840361" w:rsidRPr="00821285" w:rsidRDefault="00840361" w:rsidP="006A798F">
      <w:pPr>
        <w:pStyle w:val="Work4"/>
        <w:spacing w:after="0" w:line="480" w:lineRule="auto"/>
        <w:ind w:left="0" w:firstLine="2880"/>
        <w:jc w:val="both"/>
        <w:rPr>
          <w:rFonts w:cs="Times New Roman"/>
          <w:sz w:val="28"/>
          <w:szCs w:val="28"/>
        </w:rPr>
      </w:pPr>
      <w:r w:rsidRPr="00821285">
        <w:rPr>
          <w:rFonts w:cs="Times New Roman"/>
          <w:sz w:val="28"/>
          <w:szCs w:val="28"/>
        </w:rPr>
        <w:t xml:space="preserve">In order to advise your client in structuring his </w:t>
      </w:r>
      <w:r>
        <w:rPr>
          <w:rFonts w:cs="Times New Roman"/>
          <w:sz w:val="28"/>
          <w:szCs w:val="28"/>
        </w:rPr>
        <w:t xml:space="preserve">or her </w:t>
      </w:r>
      <w:r w:rsidRPr="00821285">
        <w:rPr>
          <w:rFonts w:cs="Times New Roman"/>
          <w:sz w:val="28"/>
          <w:szCs w:val="28"/>
        </w:rPr>
        <w:t xml:space="preserve">IRA beneficiary designation, you have to be familiar with the minimum distribution rules.  The required minimum distribution (“RMD”) rules specify how long a taxpayer (and after the taxpayer’s death, the beneficiary(s)) may defer withdrawals from retirement accounts.  IRC </w:t>
      </w:r>
      <w:r>
        <w:rPr>
          <w:rFonts w:cs="Times New Roman"/>
          <w:sz w:val="28"/>
          <w:szCs w:val="28"/>
        </w:rPr>
        <w:t>§ </w:t>
      </w:r>
      <w:r w:rsidRPr="00821285">
        <w:rPr>
          <w:rFonts w:cs="Times New Roman"/>
          <w:sz w:val="28"/>
          <w:szCs w:val="28"/>
        </w:rPr>
        <w:t>401(a)(9).</w:t>
      </w:r>
    </w:p>
    <w:p w:rsidR="00840361" w:rsidRPr="00821285" w:rsidRDefault="00840361" w:rsidP="006A798F">
      <w:pPr>
        <w:pStyle w:val="Work4"/>
        <w:spacing w:after="0" w:line="480" w:lineRule="auto"/>
        <w:ind w:left="0" w:firstLine="2880"/>
        <w:jc w:val="both"/>
        <w:rPr>
          <w:rFonts w:cs="Times New Roman"/>
          <w:sz w:val="28"/>
          <w:szCs w:val="28"/>
        </w:rPr>
      </w:pPr>
      <w:r w:rsidRPr="00821285">
        <w:rPr>
          <w:rFonts w:cs="Times New Roman"/>
          <w:sz w:val="28"/>
          <w:szCs w:val="28"/>
        </w:rPr>
        <w:t xml:space="preserve">During life, the taxpayer must generally begin taking withdrawals by April 1 of the year after the taxpayer reaches age 70 ½. </w:t>
      </w:r>
      <w:r w:rsidRPr="00821285">
        <w:rPr>
          <w:rStyle w:val="FootnoteReference"/>
          <w:rFonts w:cs="Times New Roman"/>
          <w:sz w:val="28"/>
          <w:szCs w:val="28"/>
        </w:rPr>
        <w:t xml:space="preserve"> </w:t>
      </w:r>
      <w:r w:rsidRPr="00821285">
        <w:rPr>
          <w:rFonts w:cs="Times New Roman"/>
          <w:sz w:val="28"/>
          <w:szCs w:val="28"/>
        </w:rPr>
        <w:t>This date is referred to as the required beginning date ("RBD").</w:t>
      </w:r>
      <w:r>
        <w:rPr>
          <w:rFonts w:cs="Times New Roman"/>
          <w:sz w:val="28"/>
          <w:szCs w:val="28"/>
        </w:rPr>
        <w:t xml:space="preserve">  (For certain employees, the RMDs do not have to begin until the calendar year of retirement if the employee retires after age 70½).</w:t>
      </w:r>
    </w:p>
    <w:p w:rsidR="00840361" w:rsidRDefault="00840361" w:rsidP="006A798F">
      <w:pPr>
        <w:pStyle w:val="Work4"/>
        <w:spacing w:after="0" w:line="480" w:lineRule="auto"/>
        <w:ind w:left="0" w:firstLine="2880"/>
        <w:jc w:val="both"/>
        <w:rPr>
          <w:rFonts w:cs="Times New Roman"/>
          <w:sz w:val="28"/>
          <w:szCs w:val="28"/>
        </w:rPr>
      </w:pPr>
      <w:r w:rsidRPr="00821285">
        <w:rPr>
          <w:rFonts w:cs="Times New Roman"/>
          <w:sz w:val="28"/>
          <w:szCs w:val="28"/>
        </w:rPr>
        <w:lastRenderedPageBreak/>
        <w:t xml:space="preserve">An IRS table that takes into account the taxpayer’s life expectancy sets the RMD amount the taxpayer must withdraw in each year after the RBD.  Treas. Reg. </w:t>
      </w:r>
      <w:r>
        <w:rPr>
          <w:rFonts w:cs="Times New Roman"/>
          <w:sz w:val="28"/>
          <w:szCs w:val="28"/>
        </w:rPr>
        <w:t>§ </w:t>
      </w:r>
      <w:r w:rsidRPr="00821285">
        <w:rPr>
          <w:rFonts w:cs="Times New Roman"/>
          <w:sz w:val="28"/>
          <w:szCs w:val="28"/>
        </w:rPr>
        <w:t>1.401(a)(9)-5.</w:t>
      </w:r>
    </w:p>
    <w:p w:rsidR="00840361" w:rsidRPr="00750EB5" w:rsidRDefault="00840361" w:rsidP="006A798F">
      <w:pPr>
        <w:pStyle w:val="Work5"/>
        <w:spacing w:line="480" w:lineRule="auto"/>
        <w:ind w:left="0" w:firstLine="3600"/>
        <w:jc w:val="both"/>
        <w:rPr>
          <w:sz w:val="28"/>
          <w:szCs w:val="28"/>
        </w:rPr>
      </w:pPr>
      <w:r w:rsidRPr="00750EB5">
        <w:rPr>
          <w:sz w:val="28"/>
          <w:szCs w:val="28"/>
        </w:rPr>
        <w:t>Unless the account owner’s spouse is more than ten (1</w:t>
      </w:r>
      <w:r>
        <w:rPr>
          <w:sz w:val="28"/>
          <w:szCs w:val="28"/>
        </w:rPr>
        <w:t>0</w:t>
      </w:r>
      <w:r w:rsidRPr="00750EB5">
        <w:rPr>
          <w:sz w:val="28"/>
          <w:szCs w:val="28"/>
        </w:rPr>
        <w:t>) years younger</w:t>
      </w:r>
      <w:r>
        <w:rPr>
          <w:sz w:val="28"/>
          <w:szCs w:val="28"/>
        </w:rPr>
        <w:t xml:space="preserve"> than the account owner</w:t>
      </w:r>
      <w:r w:rsidRPr="00750EB5">
        <w:rPr>
          <w:sz w:val="28"/>
          <w:szCs w:val="28"/>
        </w:rPr>
        <w:t xml:space="preserve">, then the account owner will use the “Uniform Lifetime Table.”  Treas. Reg. </w:t>
      </w:r>
      <w:r w:rsidRPr="00750EB5">
        <w:rPr>
          <w:rFonts w:cs="Times New Roman"/>
          <w:sz w:val="28"/>
          <w:szCs w:val="28"/>
        </w:rPr>
        <w:t>§</w:t>
      </w:r>
      <w:r>
        <w:rPr>
          <w:rFonts w:cs="Times New Roman"/>
          <w:sz w:val="28"/>
          <w:szCs w:val="28"/>
        </w:rPr>
        <w:t> </w:t>
      </w:r>
      <w:r w:rsidRPr="00750EB5">
        <w:rPr>
          <w:sz w:val="28"/>
          <w:szCs w:val="28"/>
        </w:rPr>
        <w:t>1.401(a)(9)-9(A-2).</w:t>
      </w:r>
    </w:p>
    <w:p w:rsidR="00840361" w:rsidRPr="0032756C" w:rsidRDefault="00840361" w:rsidP="006A798F">
      <w:pPr>
        <w:pStyle w:val="Work5"/>
        <w:spacing w:line="480" w:lineRule="auto"/>
        <w:ind w:left="0" w:firstLine="3600"/>
        <w:jc w:val="both"/>
        <w:rPr>
          <w:sz w:val="28"/>
          <w:szCs w:val="28"/>
        </w:rPr>
      </w:pPr>
      <w:r>
        <w:rPr>
          <w:sz w:val="28"/>
          <w:szCs w:val="28"/>
        </w:rPr>
        <w:t xml:space="preserve">If there is a spouse more than ten (10) years younger, then the account owner uses the “Joint and Last Survivor Table.”  Treas. Reg. </w:t>
      </w:r>
      <w:r>
        <w:rPr>
          <w:rFonts w:cs="Times New Roman"/>
          <w:sz w:val="28"/>
          <w:szCs w:val="28"/>
        </w:rPr>
        <w:t>§ </w:t>
      </w:r>
      <w:r>
        <w:rPr>
          <w:sz w:val="28"/>
          <w:szCs w:val="28"/>
        </w:rPr>
        <w:t>1.401(a)(9)-9(A-3).</w:t>
      </w:r>
    </w:p>
    <w:p w:rsidR="00840361" w:rsidRPr="0032756C" w:rsidRDefault="00840361" w:rsidP="006A798F">
      <w:pPr>
        <w:pStyle w:val="Work4"/>
        <w:spacing w:line="480" w:lineRule="auto"/>
        <w:ind w:left="0" w:firstLine="2880"/>
        <w:jc w:val="both"/>
        <w:rPr>
          <w:sz w:val="28"/>
          <w:szCs w:val="28"/>
        </w:rPr>
      </w:pPr>
      <w:r w:rsidRPr="0032756C">
        <w:rPr>
          <w:sz w:val="28"/>
          <w:szCs w:val="28"/>
        </w:rPr>
        <w:t>Distributions from qualified retirement plans that are taken before the taxpayer reaches the age of 59 ½ are subject to an additional 10% “early withdrawal” tax, unless the distribution falls within a statutory exception. IR</w:t>
      </w:r>
      <w:r>
        <w:rPr>
          <w:sz w:val="28"/>
          <w:szCs w:val="28"/>
        </w:rPr>
        <w:t>C</w:t>
      </w:r>
      <w:r w:rsidRPr="0032756C">
        <w:rPr>
          <w:sz w:val="28"/>
          <w:szCs w:val="28"/>
        </w:rPr>
        <w:t xml:space="preserve"> § 72(t).  </w:t>
      </w:r>
    </w:p>
    <w:p w:rsidR="00840361" w:rsidRPr="0032756C" w:rsidRDefault="00840361" w:rsidP="006A798F">
      <w:pPr>
        <w:pStyle w:val="Work5"/>
        <w:spacing w:line="480" w:lineRule="auto"/>
        <w:ind w:left="0" w:firstLine="3600"/>
        <w:jc w:val="both"/>
        <w:rPr>
          <w:sz w:val="28"/>
          <w:szCs w:val="28"/>
        </w:rPr>
      </w:pPr>
      <w:r>
        <w:rPr>
          <w:sz w:val="28"/>
          <w:szCs w:val="28"/>
        </w:rPr>
        <w:t xml:space="preserve">Code </w:t>
      </w:r>
      <w:r w:rsidRPr="0032756C">
        <w:rPr>
          <w:sz w:val="28"/>
          <w:szCs w:val="28"/>
        </w:rPr>
        <w:t>§72(t) was amended recently to expand the “Public Safety Employee” exception to the general rule of requiring a 10% additional tax on early distributions.  Specifically, the Defending Public Safety Employees Retirement Act (H.R. 2146) was enacted after being signed by President Obama on June 29, 2015.  On</w:t>
      </w:r>
      <w:r>
        <w:rPr>
          <w:sz w:val="28"/>
          <w:szCs w:val="28"/>
        </w:rPr>
        <w:t>e</w:t>
      </w:r>
      <w:r w:rsidRPr="0032756C">
        <w:rPr>
          <w:sz w:val="28"/>
          <w:szCs w:val="28"/>
        </w:rPr>
        <w:t xml:space="preserve"> aspect of this legislation allows retired federal public </w:t>
      </w:r>
      <w:r w:rsidRPr="0032756C">
        <w:rPr>
          <w:sz w:val="28"/>
          <w:szCs w:val="28"/>
        </w:rPr>
        <w:lastRenderedPageBreak/>
        <w:t xml:space="preserve">safety officers to access their Thrift Savings Plan funds at age 50 without incurring the 10% early withdrawal penalty.  </w:t>
      </w:r>
    </w:p>
    <w:p w:rsidR="00840361" w:rsidRPr="0032756C" w:rsidRDefault="00840361" w:rsidP="006A798F">
      <w:pPr>
        <w:pStyle w:val="Work4"/>
        <w:spacing w:line="480" w:lineRule="auto"/>
        <w:ind w:left="0" w:firstLine="2880"/>
        <w:jc w:val="both"/>
        <w:rPr>
          <w:sz w:val="28"/>
          <w:szCs w:val="28"/>
        </w:rPr>
      </w:pPr>
      <w:r w:rsidRPr="0032756C">
        <w:rPr>
          <w:sz w:val="28"/>
          <w:szCs w:val="28"/>
        </w:rPr>
        <w:t>Recently, the courts have clarified under what circumstances this 10% tax will be imposed.</w:t>
      </w:r>
    </w:p>
    <w:p w:rsidR="00840361" w:rsidRPr="0032756C" w:rsidRDefault="00840361" w:rsidP="006A798F">
      <w:pPr>
        <w:pStyle w:val="Work5"/>
        <w:spacing w:line="480" w:lineRule="auto"/>
        <w:ind w:left="0" w:firstLine="3600"/>
        <w:jc w:val="both"/>
        <w:rPr>
          <w:sz w:val="28"/>
          <w:szCs w:val="28"/>
        </w:rPr>
      </w:pPr>
      <w:r w:rsidRPr="0032756C">
        <w:rPr>
          <w:sz w:val="28"/>
          <w:szCs w:val="28"/>
        </w:rPr>
        <w:t xml:space="preserve">In </w:t>
      </w:r>
      <w:r w:rsidRPr="0032756C">
        <w:rPr>
          <w:sz w:val="28"/>
          <w:szCs w:val="28"/>
          <w:u w:val="single"/>
        </w:rPr>
        <w:t>Kott v. C.I.R</w:t>
      </w:r>
      <w:r w:rsidRPr="009D17FF">
        <w:rPr>
          <w:sz w:val="28"/>
          <w:szCs w:val="28"/>
          <w:u w:val="single"/>
        </w:rPr>
        <w:t>.</w:t>
      </w:r>
      <w:r>
        <w:rPr>
          <w:sz w:val="28"/>
          <w:szCs w:val="28"/>
        </w:rPr>
        <w:t>, T.C. Summ.Op. 2015-42 (2015),</w:t>
      </w:r>
      <w:r w:rsidRPr="0032756C">
        <w:rPr>
          <w:sz w:val="28"/>
          <w:szCs w:val="28"/>
        </w:rPr>
        <w:t xml:space="preserve"> a taxpayer who was younger than age 59 ½ and delinquent in his mortgage payments withdrew funds from his 401(k) plan account in order to use such funds to avoid foreclosure.  The Tax Court held that the taxpayer was liable for the 10% early distribution penalty as the Code does not include an exception for a general “financial hardship.”  While the Tax Court noted Reg. § 1.401(k)-1(d)(3)(iii)(B)(4), which allows for distributions to be made to employees for payments necessary to prevent eviction from the employee’s principal residence or foreclosure, the Tax Court held that this exception only permitted the hardship distributions be made, and does not exempt the distributions from the 10% additional early distribution tax.</w:t>
      </w:r>
    </w:p>
    <w:p w:rsidR="00873167" w:rsidRDefault="00873167" w:rsidP="006A798F">
      <w:pPr>
        <w:pStyle w:val="Work5"/>
        <w:spacing w:line="480" w:lineRule="auto"/>
        <w:ind w:left="0" w:firstLine="3600"/>
        <w:jc w:val="both"/>
        <w:rPr>
          <w:sz w:val="28"/>
          <w:szCs w:val="28"/>
        </w:rPr>
      </w:pPr>
      <w:r>
        <w:rPr>
          <w:sz w:val="28"/>
          <w:szCs w:val="28"/>
        </w:rPr>
        <w:t xml:space="preserve">In </w:t>
      </w:r>
      <w:r>
        <w:rPr>
          <w:sz w:val="28"/>
          <w:szCs w:val="28"/>
          <w:u w:val="single"/>
        </w:rPr>
        <w:t>Adams v. Commissioner</w:t>
      </w:r>
      <w:r>
        <w:rPr>
          <w:sz w:val="28"/>
          <w:szCs w:val="28"/>
        </w:rPr>
        <w:t xml:space="preserve">, the taxpayer lost his job with the Department of Defense and immediately filed suit for wrongful termination based on discrimination.  Because he could not find another comparable job, the taxpayer took out over $220,000 from his IRA; he was under 59½ years old at the time.  He reported all but $70,000 as income, and did not self-assess the </w:t>
      </w:r>
      <w:r>
        <w:rPr>
          <w:sz w:val="28"/>
          <w:szCs w:val="28"/>
        </w:rPr>
        <w:lastRenderedPageBreak/>
        <w:t xml:space="preserve">premature withdrawal penalty.  Upon examination by the IRS, Adams claimed that the penalty should not apply, as the withdrawals resulted from discrimination at work and were needed for medical care and </w:t>
      </w:r>
      <w:r w:rsidR="008B3C79">
        <w:rPr>
          <w:sz w:val="28"/>
          <w:szCs w:val="28"/>
        </w:rPr>
        <w:t>“</w:t>
      </w:r>
      <w:r>
        <w:rPr>
          <w:sz w:val="28"/>
          <w:szCs w:val="28"/>
        </w:rPr>
        <w:t>to fight for justice.</w:t>
      </w:r>
      <w:r w:rsidR="008B3C79">
        <w:rPr>
          <w:sz w:val="28"/>
          <w:szCs w:val="28"/>
        </w:rPr>
        <w:t>”</w:t>
      </w:r>
      <w:r>
        <w:rPr>
          <w:sz w:val="28"/>
          <w:szCs w:val="28"/>
        </w:rPr>
        <w:t xml:space="preserve">  The Service said fine, please provide receipts and other documentation.  Adams never provided any documentation, and the Tax Court held that the 10% premature withdrawal penalty applied (as well as the other penalties for underreporting income).</w:t>
      </w:r>
    </w:p>
    <w:p w:rsidR="00840361" w:rsidRPr="0032756C" w:rsidRDefault="00840361" w:rsidP="006A798F">
      <w:pPr>
        <w:pStyle w:val="Work5"/>
        <w:spacing w:line="480" w:lineRule="auto"/>
        <w:ind w:left="0" w:firstLine="3600"/>
        <w:jc w:val="both"/>
        <w:rPr>
          <w:sz w:val="28"/>
          <w:szCs w:val="28"/>
        </w:rPr>
      </w:pPr>
      <w:r w:rsidRPr="0032756C">
        <w:rPr>
          <w:sz w:val="28"/>
          <w:szCs w:val="28"/>
        </w:rPr>
        <w:t xml:space="preserve">In </w:t>
      </w:r>
      <w:r w:rsidRPr="00063B0A">
        <w:rPr>
          <w:i/>
          <w:sz w:val="28"/>
          <w:szCs w:val="28"/>
          <w:u w:val="single"/>
        </w:rPr>
        <w:t>In re</w:t>
      </w:r>
      <w:r w:rsidRPr="0032756C">
        <w:rPr>
          <w:sz w:val="28"/>
          <w:szCs w:val="28"/>
          <w:u w:val="single"/>
        </w:rPr>
        <w:t xml:space="preserve"> Bradford</w:t>
      </w:r>
      <w:r w:rsidRPr="0032756C">
        <w:rPr>
          <w:sz w:val="28"/>
          <w:szCs w:val="28"/>
        </w:rPr>
        <w:t xml:space="preserve">, </w:t>
      </w:r>
      <w:r>
        <w:rPr>
          <w:sz w:val="28"/>
          <w:szCs w:val="28"/>
        </w:rPr>
        <w:t xml:space="preserve">2015 WL 4549603 (Bankr. M.D. Ga., July 20, 2015), </w:t>
      </w:r>
      <w:r w:rsidRPr="0032756C">
        <w:rPr>
          <w:sz w:val="28"/>
          <w:szCs w:val="28"/>
        </w:rPr>
        <w:t xml:space="preserve">a Georgia bankruptcy court indicated that the early distribution tax imposed by §72(t) is an excise tax, and not a punitive tax measure, for purposes of bankruptcy.  </w:t>
      </w:r>
    </w:p>
    <w:p w:rsidR="00840361" w:rsidRPr="00063B0A" w:rsidRDefault="00840361" w:rsidP="009B2437">
      <w:pPr>
        <w:pStyle w:val="Work6"/>
        <w:spacing w:line="480" w:lineRule="auto"/>
        <w:ind w:left="0" w:firstLine="4320"/>
        <w:jc w:val="both"/>
        <w:rPr>
          <w:sz w:val="28"/>
          <w:szCs w:val="28"/>
        </w:rPr>
      </w:pPr>
      <w:r w:rsidRPr="0032756C">
        <w:rPr>
          <w:sz w:val="28"/>
          <w:szCs w:val="28"/>
        </w:rPr>
        <w:t xml:space="preserve">In examining the legislative history behind §72(t) of the Code and several relevant Supreme Court cases, the court held that this tax was enacted to deter debtor conduct rather that to support the government. Specifically, the court believed that the tax sought “to prevent retirement plans from being treated as savings accounts, to recapture a measure of tax benefits that have been provided prior to the withdrawal, and to deter the use of retirement funds for nonretirement purposes.” </w:t>
      </w:r>
      <w:r w:rsidRPr="00063B0A">
        <w:rPr>
          <w:i/>
          <w:sz w:val="28"/>
          <w:szCs w:val="28"/>
          <w:u w:val="single"/>
        </w:rPr>
        <w:t>In re</w:t>
      </w:r>
      <w:r w:rsidRPr="00063B0A">
        <w:rPr>
          <w:sz w:val="28"/>
          <w:szCs w:val="28"/>
          <w:u w:val="single"/>
        </w:rPr>
        <w:t xml:space="preserve"> Cassidy</w:t>
      </w:r>
      <w:r w:rsidRPr="00063B0A">
        <w:rPr>
          <w:sz w:val="28"/>
          <w:szCs w:val="28"/>
        </w:rPr>
        <w:t xml:space="preserve">, 983 F.2d at 164. </w:t>
      </w:r>
    </w:p>
    <w:p w:rsidR="00840361" w:rsidRPr="0032756C" w:rsidRDefault="00840361" w:rsidP="009B2437">
      <w:pPr>
        <w:pStyle w:val="Work6"/>
        <w:spacing w:line="480" w:lineRule="auto"/>
        <w:ind w:left="0" w:firstLine="4320"/>
        <w:jc w:val="both"/>
        <w:rPr>
          <w:sz w:val="28"/>
          <w:szCs w:val="28"/>
        </w:rPr>
      </w:pPr>
      <w:r w:rsidRPr="0032756C">
        <w:rPr>
          <w:sz w:val="28"/>
          <w:szCs w:val="28"/>
        </w:rPr>
        <w:t xml:space="preserve">Next, the Court determined whether the penalty was entitled to priority as compensation of the government’s actual </w:t>
      </w:r>
      <w:r w:rsidRPr="0032756C">
        <w:rPr>
          <w:sz w:val="28"/>
          <w:szCs w:val="28"/>
        </w:rPr>
        <w:lastRenderedPageBreak/>
        <w:t xml:space="preserve">pecuniary loss.  After finding that the government sustains little loss if any when the tax recoups a loss to the government incurred through the taxpayer’s deferment of income and that the losses claimed by the IRS do not constitute actual pecuniary loss, </w:t>
      </w:r>
      <w:r>
        <w:rPr>
          <w:sz w:val="28"/>
          <w:szCs w:val="28"/>
        </w:rPr>
        <w:t xml:space="preserve">the Court held that Code </w:t>
      </w:r>
      <w:r w:rsidRPr="0032756C">
        <w:rPr>
          <w:sz w:val="28"/>
          <w:szCs w:val="28"/>
        </w:rPr>
        <w:t>§ 72(t) is not entitled to priority.</w:t>
      </w:r>
    </w:p>
    <w:p w:rsidR="00840361" w:rsidRDefault="00840361" w:rsidP="009B2437">
      <w:pPr>
        <w:pStyle w:val="Work6"/>
        <w:spacing w:line="480" w:lineRule="auto"/>
        <w:ind w:left="0" w:firstLine="4320"/>
        <w:jc w:val="both"/>
        <w:rPr>
          <w:sz w:val="28"/>
          <w:szCs w:val="28"/>
        </w:rPr>
      </w:pPr>
      <w:r w:rsidRPr="0032756C">
        <w:rPr>
          <w:sz w:val="28"/>
          <w:szCs w:val="28"/>
        </w:rPr>
        <w:t xml:space="preserve">Ultimately, the court found the exaction was neither a tax, as it was not enacted to support the government, nor a penalty in compensation for actual pecuniary loss under </w:t>
      </w:r>
      <w:r>
        <w:rPr>
          <w:sz w:val="28"/>
          <w:szCs w:val="28"/>
        </w:rPr>
        <w:t xml:space="preserve">Code </w:t>
      </w:r>
      <w:r w:rsidRPr="0032756C">
        <w:rPr>
          <w:sz w:val="28"/>
          <w:szCs w:val="28"/>
        </w:rPr>
        <w:t>§ 507(a)(8). Therefore, the 10% exaction was not entitled to priority in the debtor’s bankruptcy case.</w:t>
      </w:r>
    </w:p>
    <w:p w:rsidR="0053086C" w:rsidRDefault="00B767B5" w:rsidP="009B2437">
      <w:pPr>
        <w:pStyle w:val="Work4"/>
        <w:spacing w:line="480" w:lineRule="auto"/>
        <w:ind w:left="0" w:firstLine="2880"/>
        <w:jc w:val="both"/>
        <w:rPr>
          <w:sz w:val="28"/>
          <w:szCs w:val="28"/>
        </w:rPr>
      </w:pPr>
      <w:r>
        <w:rPr>
          <w:sz w:val="28"/>
          <w:szCs w:val="28"/>
        </w:rPr>
        <w:t>How to reduce your clients RMDs.</w:t>
      </w:r>
    </w:p>
    <w:p w:rsidR="00B767B5" w:rsidRDefault="00B767B5" w:rsidP="009B2437">
      <w:pPr>
        <w:pStyle w:val="Work5"/>
        <w:spacing w:line="480" w:lineRule="auto"/>
        <w:ind w:left="90" w:firstLine="3510"/>
        <w:jc w:val="both"/>
        <w:rPr>
          <w:sz w:val="28"/>
          <w:szCs w:val="28"/>
        </w:rPr>
      </w:pPr>
      <w:r>
        <w:rPr>
          <w:sz w:val="28"/>
          <w:szCs w:val="28"/>
        </w:rPr>
        <w:t xml:space="preserve">Your client can buy a qualified longevity annuity contract.  This contract does not start paying the client an annuity until the client attains age 85.  The funds used to purchase the annuity will have many years to accumulate and grow, </w:t>
      </w:r>
      <w:r w:rsidR="0045386D">
        <w:rPr>
          <w:sz w:val="28"/>
          <w:szCs w:val="28"/>
        </w:rPr>
        <w:t>so the income eventually received will be larger.  Normally, such a delayed annuity is not permitted for IRAs, as the minimum distribution rules require RMDs no later than the RBD.  The IRS has made an exception for qualified longevity annuities with up</w:t>
      </w:r>
      <w:r w:rsidR="00E80989">
        <w:rPr>
          <w:sz w:val="28"/>
          <w:szCs w:val="28"/>
        </w:rPr>
        <w:t xml:space="preserve"> to $125,000 of the IRA balance, or 25% of the IRA owner’s total IRA balance if it is less than $125,000.</w:t>
      </w:r>
    </w:p>
    <w:p w:rsidR="00E80989" w:rsidRDefault="00E80989" w:rsidP="009B2437">
      <w:pPr>
        <w:pStyle w:val="Work5"/>
        <w:spacing w:line="480" w:lineRule="auto"/>
        <w:ind w:left="90" w:firstLine="3510"/>
        <w:jc w:val="both"/>
        <w:rPr>
          <w:sz w:val="28"/>
          <w:szCs w:val="28"/>
        </w:rPr>
      </w:pPr>
      <w:r>
        <w:rPr>
          <w:sz w:val="28"/>
          <w:szCs w:val="28"/>
        </w:rPr>
        <w:lastRenderedPageBreak/>
        <w:t xml:space="preserve">If a client is still working after attaining age 70½, he or she may be entitled to reduce compensation income by tax deductible contributions to some type of retirement plan.  These tax deductible contributions provide a current tax deduction reducing the income tax effect of </w:t>
      </w:r>
      <w:r w:rsidR="007B0E59">
        <w:rPr>
          <w:sz w:val="28"/>
          <w:szCs w:val="28"/>
        </w:rPr>
        <w:t xml:space="preserve">his or her </w:t>
      </w:r>
      <w:r>
        <w:rPr>
          <w:sz w:val="28"/>
          <w:szCs w:val="28"/>
        </w:rPr>
        <w:t>RMDs from other IRAs.  If the client is self-employed, the client can adopt a SEP-IRA, to which such contributions may be made.</w:t>
      </w:r>
    </w:p>
    <w:p w:rsidR="00E80989" w:rsidRDefault="00864795" w:rsidP="009B2437">
      <w:pPr>
        <w:pStyle w:val="Work5"/>
        <w:spacing w:line="480" w:lineRule="auto"/>
        <w:ind w:left="90" w:firstLine="3510"/>
        <w:jc w:val="both"/>
        <w:rPr>
          <w:sz w:val="28"/>
          <w:szCs w:val="28"/>
        </w:rPr>
      </w:pPr>
      <w:r>
        <w:rPr>
          <w:sz w:val="28"/>
          <w:szCs w:val="28"/>
        </w:rPr>
        <w:t xml:space="preserve">If your client works for a non-profit entity, </w:t>
      </w:r>
      <w:r w:rsidR="004D7C95">
        <w:rPr>
          <w:sz w:val="28"/>
          <w:szCs w:val="28"/>
        </w:rPr>
        <w:t xml:space="preserve">or a for-profit company if the client has less than 5% ownership in that company, </w:t>
      </w:r>
      <w:r>
        <w:rPr>
          <w:sz w:val="28"/>
          <w:szCs w:val="28"/>
        </w:rPr>
        <w:t>and such entity has a qualified retirement plan that accepts rollovers from IRAs, the client can rollover his or her IRA into the company plan and then not have to take RMDs from that plan until actual retirement from that employer</w:t>
      </w:r>
      <w:r w:rsidR="004B1A64">
        <w:rPr>
          <w:sz w:val="28"/>
          <w:szCs w:val="28"/>
        </w:rPr>
        <w:t>.</w:t>
      </w:r>
    </w:p>
    <w:p w:rsidR="004B1A64" w:rsidRDefault="004B1A64" w:rsidP="009B2437">
      <w:pPr>
        <w:pStyle w:val="Work5"/>
        <w:spacing w:line="480" w:lineRule="auto"/>
        <w:ind w:left="90" w:firstLine="3510"/>
        <w:jc w:val="both"/>
        <w:rPr>
          <w:sz w:val="28"/>
          <w:szCs w:val="28"/>
        </w:rPr>
      </w:pPr>
      <w:r>
        <w:rPr>
          <w:sz w:val="28"/>
          <w:szCs w:val="28"/>
        </w:rPr>
        <w:t>If the client participates in an employer’s qualified retirement plan, and has “after-tax money” in that plan, then upon retirement from that company the client should request that the plan send a direct rollover of all pre-tax money to a traditional IRA and the after-tax money to a Roth IRA.  In essence, this is a tax-free Roth IRA conversion.</w:t>
      </w:r>
    </w:p>
    <w:p w:rsidR="004B1A64" w:rsidRPr="00B767B5" w:rsidRDefault="009D2C52" w:rsidP="009B2437">
      <w:pPr>
        <w:pStyle w:val="Work5"/>
        <w:spacing w:line="480" w:lineRule="auto"/>
        <w:ind w:left="90" w:firstLine="3510"/>
        <w:jc w:val="both"/>
        <w:rPr>
          <w:sz w:val="28"/>
          <w:szCs w:val="28"/>
        </w:rPr>
      </w:pPr>
      <w:r>
        <w:rPr>
          <w:sz w:val="28"/>
          <w:szCs w:val="28"/>
        </w:rPr>
        <w:t>O</w:t>
      </w:r>
      <w:r w:rsidR="00230A7E">
        <w:rPr>
          <w:sz w:val="28"/>
          <w:szCs w:val="28"/>
        </w:rPr>
        <w:t>f course</w:t>
      </w:r>
      <w:r>
        <w:rPr>
          <w:sz w:val="28"/>
          <w:szCs w:val="28"/>
        </w:rPr>
        <w:t>, there is always</w:t>
      </w:r>
      <w:r w:rsidR="00230A7E">
        <w:rPr>
          <w:sz w:val="28"/>
          <w:szCs w:val="28"/>
        </w:rPr>
        <w:t xml:space="preserve"> </w:t>
      </w:r>
      <w:r>
        <w:rPr>
          <w:sz w:val="28"/>
          <w:szCs w:val="28"/>
        </w:rPr>
        <w:t xml:space="preserve">the </w:t>
      </w:r>
      <w:r w:rsidR="00230A7E">
        <w:rPr>
          <w:sz w:val="28"/>
          <w:szCs w:val="28"/>
        </w:rPr>
        <w:t xml:space="preserve">plain old Roth conversion of </w:t>
      </w:r>
      <w:r>
        <w:rPr>
          <w:sz w:val="28"/>
          <w:szCs w:val="28"/>
        </w:rPr>
        <w:t xml:space="preserve">the client’s </w:t>
      </w:r>
      <w:r w:rsidR="00230A7E">
        <w:rPr>
          <w:sz w:val="28"/>
          <w:szCs w:val="28"/>
        </w:rPr>
        <w:t xml:space="preserve">traditional IRA, as Roth IRAs do not require RMDs </w:t>
      </w:r>
      <w:r w:rsidR="00230A7E">
        <w:rPr>
          <w:sz w:val="28"/>
          <w:szCs w:val="28"/>
        </w:rPr>
        <w:lastRenderedPageBreak/>
        <w:t>during the owner’s life.  However, the client must be willing to pay tax on the amount converted as though it were distributed from the plan at that time.</w:t>
      </w:r>
    </w:p>
    <w:p w:rsidR="00840361" w:rsidRDefault="00840361" w:rsidP="00E842CB">
      <w:pPr>
        <w:pStyle w:val="Work3"/>
        <w:spacing w:after="0" w:line="480" w:lineRule="auto"/>
        <w:ind w:left="0" w:firstLine="2160"/>
        <w:jc w:val="both"/>
        <w:rPr>
          <w:rFonts w:cs="Times New Roman"/>
          <w:sz w:val="28"/>
          <w:szCs w:val="28"/>
        </w:rPr>
      </w:pPr>
      <w:r>
        <w:rPr>
          <w:rFonts w:cs="Times New Roman"/>
          <w:sz w:val="28"/>
          <w:szCs w:val="28"/>
        </w:rPr>
        <w:t>Distributions After Death if the Spouse is Beneficiary.</w:t>
      </w:r>
    </w:p>
    <w:p w:rsidR="00840361" w:rsidRPr="00F528B2" w:rsidRDefault="00840361" w:rsidP="00526B6F">
      <w:pPr>
        <w:pStyle w:val="Work4"/>
        <w:spacing w:line="480" w:lineRule="auto"/>
        <w:ind w:left="0" w:firstLine="2880"/>
        <w:jc w:val="both"/>
        <w:rPr>
          <w:sz w:val="28"/>
          <w:szCs w:val="28"/>
        </w:rPr>
      </w:pPr>
      <w:r w:rsidRPr="00F528B2">
        <w:rPr>
          <w:sz w:val="28"/>
          <w:szCs w:val="28"/>
        </w:rPr>
        <w:t>We are all familiar with the rules enabling a spouse to roll</w:t>
      </w:r>
      <w:r>
        <w:rPr>
          <w:sz w:val="28"/>
          <w:szCs w:val="28"/>
        </w:rPr>
        <w:t xml:space="preserve"> </w:t>
      </w:r>
      <w:r w:rsidRPr="00F528B2">
        <w:rPr>
          <w:sz w:val="28"/>
          <w:szCs w:val="28"/>
        </w:rPr>
        <w:t>over retirement benefits upon the death of his or her spouse, and they will not be repeated here.  However, there are a few recent developments in this area that are worth discussing.</w:t>
      </w:r>
    </w:p>
    <w:p w:rsidR="00840361" w:rsidRDefault="00840361" w:rsidP="00526B6F">
      <w:pPr>
        <w:pStyle w:val="Work4"/>
        <w:spacing w:line="480" w:lineRule="auto"/>
        <w:ind w:left="0" w:firstLine="2880"/>
        <w:jc w:val="both"/>
        <w:rPr>
          <w:sz w:val="28"/>
          <w:szCs w:val="28"/>
        </w:rPr>
      </w:pPr>
      <w:r>
        <w:rPr>
          <w:sz w:val="28"/>
          <w:szCs w:val="28"/>
        </w:rPr>
        <w:t>In 2009, t</w:t>
      </w:r>
      <w:r w:rsidRPr="00F528B2">
        <w:rPr>
          <w:sz w:val="28"/>
          <w:szCs w:val="28"/>
        </w:rPr>
        <w:t>he ACTEC Estate Planning for Employee Benefits Committee initially requested that the IRS issue a revenue ruling with respect to spousal rollovers of qualified plan and IRA benefits when an estate or trust is named beneficiary of a decedent’s interest</w:t>
      </w:r>
      <w:r>
        <w:rPr>
          <w:sz w:val="28"/>
          <w:szCs w:val="28"/>
        </w:rPr>
        <w:t xml:space="preserve">. </w:t>
      </w:r>
    </w:p>
    <w:p w:rsidR="00840361" w:rsidRDefault="00840361" w:rsidP="00526B6F">
      <w:pPr>
        <w:pStyle w:val="Work5"/>
        <w:spacing w:line="480" w:lineRule="auto"/>
        <w:ind w:left="0" w:firstLine="3600"/>
        <w:jc w:val="both"/>
        <w:rPr>
          <w:sz w:val="28"/>
          <w:szCs w:val="28"/>
        </w:rPr>
      </w:pPr>
      <w:r w:rsidRPr="006B2EBF">
        <w:rPr>
          <w:sz w:val="28"/>
          <w:szCs w:val="28"/>
        </w:rPr>
        <w:t xml:space="preserve">This request was repeated in 2010 and again earlier this year, and guidance on this issue has been requested in connection with </w:t>
      </w:r>
      <w:r>
        <w:rPr>
          <w:sz w:val="28"/>
          <w:szCs w:val="28"/>
        </w:rPr>
        <w:t xml:space="preserve">the </w:t>
      </w:r>
      <w:r w:rsidRPr="006B2EBF">
        <w:rPr>
          <w:sz w:val="28"/>
          <w:szCs w:val="28"/>
        </w:rPr>
        <w:t>ACTEC recommendations for the IRS Guidance Priority Plan in each of the last four (4) years.</w:t>
      </w:r>
    </w:p>
    <w:p w:rsidR="00840361" w:rsidRDefault="00840361" w:rsidP="00526B6F">
      <w:pPr>
        <w:pStyle w:val="Work5"/>
        <w:spacing w:line="480" w:lineRule="auto"/>
        <w:ind w:left="0" w:firstLine="3600"/>
        <w:jc w:val="both"/>
        <w:rPr>
          <w:sz w:val="28"/>
          <w:szCs w:val="28"/>
        </w:rPr>
      </w:pPr>
      <w:r w:rsidRPr="006B2EBF">
        <w:rPr>
          <w:sz w:val="28"/>
          <w:szCs w:val="28"/>
        </w:rPr>
        <w:t>Several hundred favorable private letter rulings have been issued over the last ten years, and it makes no sense for taxpayers to expend the filing fee required for a private ruling.</w:t>
      </w:r>
    </w:p>
    <w:p w:rsidR="00840361" w:rsidRPr="006B2EBF" w:rsidRDefault="00840361" w:rsidP="00526B6F">
      <w:pPr>
        <w:pStyle w:val="Work5"/>
        <w:spacing w:line="480" w:lineRule="auto"/>
        <w:ind w:left="0" w:firstLine="3600"/>
        <w:jc w:val="both"/>
        <w:rPr>
          <w:sz w:val="28"/>
          <w:szCs w:val="28"/>
        </w:rPr>
      </w:pPr>
      <w:r>
        <w:rPr>
          <w:sz w:val="28"/>
          <w:szCs w:val="28"/>
        </w:rPr>
        <w:lastRenderedPageBreak/>
        <w:t>As an example, i</w:t>
      </w:r>
      <w:r w:rsidRPr="006B2EBF">
        <w:rPr>
          <w:sz w:val="28"/>
          <w:szCs w:val="28"/>
        </w:rPr>
        <w:t xml:space="preserve">n PLR 201511036, the IRS allowed spousal rollover treatment when the decedent’s estate was named as beneficiary of several IRAs, and the spouse was the executor of the estate, the Trustee of </w:t>
      </w:r>
      <w:r>
        <w:rPr>
          <w:sz w:val="28"/>
          <w:szCs w:val="28"/>
        </w:rPr>
        <w:t>decede</w:t>
      </w:r>
      <w:r w:rsidRPr="006B2EBF">
        <w:rPr>
          <w:sz w:val="28"/>
          <w:szCs w:val="28"/>
        </w:rPr>
        <w:t>nt’s trust, and was the income beneficiary and had a general power of appointment over the trust which was ultimately to receive the IRA proceeds.</w:t>
      </w:r>
    </w:p>
    <w:p w:rsidR="00840361" w:rsidRDefault="00840361" w:rsidP="00526B6F">
      <w:pPr>
        <w:pStyle w:val="Work4"/>
        <w:spacing w:line="480" w:lineRule="auto"/>
        <w:ind w:left="0" w:firstLine="2880"/>
        <w:jc w:val="both"/>
        <w:rPr>
          <w:sz w:val="28"/>
          <w:szCs w:val="28"/>
        </w:rPr>
      </w:pPr>
      <w:r>
        <w:rPr>
          <w:sz w:val="28"/>
          <w:szCs w:val="28"/>
        </w:rPr>
        <w:t xml:space="preserve">The impact of the </w:t>
      </w:r>
      <w:r>
        <w:rPr>
          <w:b/>
          <w:sz w:val="28"/>
          <w:szCs w:val="28"/>
          <w:u w:val="single"/>
        </w:rPr>
        <w:t>Windsor</w:t>
      </w:r>
      <w:r w:rsidRPr="006B2EBF">
        <w:rPr>
          <w:sz w:val="28"/>
          <w:szCs w:val="28"/>
        </w:rPr>
        <w:t xml:space="preserve"> holding</w:t>
      </w:r>
      <w:r>
        <w:rPr>
          <w:sz w:val="28"/>
          <w:szCs w:val="28"/>
        </w:rPr>
        <w:t>.</w:t>
      </w:r>
    </w:p>
    <w:p w:rsidR="00840361" w:rsidRDefault="00840361" w:rsidP="00526B6F">
      <w:pPr>
        <w:pStyle w:val="Work5"/>
        <w:spacing w:line="480" w:lineRule="auto"/>
        <w:ind w:left="0" w:firstLine="3600"/>
        <w:jc w:val="both"/>
        <w:rPr>
          <w:sz w:val="28"/>
          <w:szCs w:val="28"/>
        </w:rPr>
      </w:pPr>
      <w:r w:rsidRPr="00F528B2">
        <w:rPr>
          <w:sz w:val="28"/>
          <w:szCs w:val="28"/>
        </w:rPr>
        <w:t xml:space="preserve">As we all know, on June 26, 2013, the U.S. Supreme Court held </w:t>
      </w:r>
      <w:r>
        <w:rPr>
          <w:sz w:val="28"/>
          <w:szCs w:val="28"/>
        </w:rPr>
        <w:t xml:space="preserve">in </w:t>
      </w:r>
      <w:r w:rsidRPr="00A33269">
        <w:rPr>
          <w:sz w:val="28"/>
          <w:szCs w:val="28"/>
          <w:u w:val="single"/>
        </w:rPr>
        <w:t>U.S. v. Windsor</w:t>
      </w:r>
      <w:r>
        <w:rPr>
          <w:sz w:val="28"/>
          <w:szCs w:val="28"/>
        </w:rPr>
        <w:t xml:space="preserve">, 133 S.Ct. 2675 (2015) </w:t>
      </w:r>
      <w:r w:rsidRPr="006B2EBF">
        <w:rPr>
          <w:sz w:val="28"/>
          <w:szCs w:val="28"/>
        </w:rPr>
        <w:t>that</w:t>
      </w:r>
      <w:r w:rsidRPr="00F528B2">
        <w:rPr>
          <w:sz w:val="28"/>
          <w:szCs w:val="28"/>
        </w:rPr>
        <w:t xml:space="preserve"> Section 3 of the </w:t>
      </w:r>
      <w:r>
        <w:rPr>
          <w:sz w:val="28"/>
          <w:szCs w:val="28"/>
        </w:rPr>
        <w:t>Defense of</w:t>
      </w:r>
      <w:r w:rsidRPr="00F528B2">
        <w:rPr>
          <w:sz w:val="28"/>
          <w:szCs w:val="28"/>
        </w:rPr>
        <w:t xml:space="preserve"> </w:t>
      </w:r>
      <w:r>
        <w:rPr>
          <w:sz w:val="28"/>
          <w:szCs w:val="28"/>
        </w:rPr>
        <w:t>M</w:t>
      </w:r>
      <w:r w:rsidRPr="00F528B2">
        <w:rPr>
          <w:sz w:val="28"/>
          <w:szCs w:val="28"/>
        </w:rPr>
        <w:t xml:space="preserve">arriage </w:t>
      </w:r>
      <w:r>
        <w:rPr>
          <w:sz w:val="28"/>
          <w:szCs w:val="28"/>
        </w:rPr>
        <w:t>A</w:t>
      </w:r>
      <w:r w:rsidRPr="00F528B2">
        <w:rPr>
          <w:sz w:val="28"/>
          <w:szCs w:val="28"/>
        </w:rPr>
        <w:t>ct “DOMA”</w:t>
      </w:r>
      <w:r>
        <w:rPr>
          <w:sz w:val="28"/>
          <w:szCs w:val="28"/>
        </w:rPr>
        <w:t xml:space="preserve"> is unconstitutional.</w:t>
      </w:r>
    </w:p>
    <w:p w:rsidR="00840361" w:rsidRDefault="00840361" w:rsidP="00526B6F">
      <w:pPr>
        <w:pStyle w:val="Work5"/>
        <w:spacing w:line="480" w:lineRule="auto"/>
        <w:ind w:left="0" w:firstLine="3600"/>
        <w:jc w:val="both"/>
        <w:rPr>
          <w:sz w:val="28"/>
          <w:szCs w:val="28"/>
        </w:rPr>
      </w:pPr>
      <w:r>
        <w:rPr>
          <w:sz w:val="28"/>
          <w:szCs w:val="28"/>
        </w:rPr>
        <w:t>The IRS issued follow-up guidance for same-sex marriages in Revenue Ruling 2013-17 and Notice 2014-19.</w:t>
      </w:r>
    </w:p>
    <w:p w:rsidR="00840361" w:rsidRDefault="00840361" w:rsidP="00526B6F">
      <w:pPr>
        <w:pStyle w:val="Work5"/>
        <w:spacing w:line="480" w:lineRule="auto"/>
        <w:ind w:left="0" w:firstLine="3600"/>
        <w:jc w:val="both"/>
        <w:rPr>
          <w:sz w:val="28"/>
          <w:szCs w:val="28"/>
        </w:rPr>
      </w:pPr>
      <w:r>
        <w:rPr>
          <w:sz w:val="28"/>
          <w:szCs w:val="28"/>
        </w:rPr>
        <w:t>Generally, participants and their spouses who are in same-sex marriages must be treated as married for all purposes under a qualified retirement plan as of June 26, 2013.</w:t>
      </w:r>
    </w:p>
    <w:p w:rsidR="00840361" w:rsidRDefault="00840361" w:rsidP="00A43108">
      <w:pPr>
        <w:pStyle w:val="Work6"/>
        <w:numPr>
          <w:ilvl w:val="0"/>
          <w:numId w:val="40"/>
        </w:numPr>
        <w:spacing w:line="480" w:lineRule="auto"/>
        <w:ind w:left="0" w:firstLine="4320"/>
        <w:jc w:val="both"/>
        <w:rPr>
          <w:sz w:val="28"/>
          <w:szCs w:val="28"/>
        </w:rPr>
      </w:pPr>
      <w:r>
        <w:rPr>
          <w:sz w:val="28"/>
          <w:szCs w:val="28"/>
        </w:rPr>
        <w:t>A sponsor of a qualified plan may elect to recognize only same-sex marriages of participants as of June 26, 2013 who lives in a state that recognizes same-sex marriages.</w:t>
      </w:r>
    </w:p>
    <w:p w:rsidR="00840361" w:rsidRDefault="00840361" w:rsidP="00A43108">
      <w:pPr>
        <w:pStyle w:val="Work6"/>
        <w:numPr>
          <w:ilvl w:val="0"/>
          <w:numId w:val="40"/>
        </w:numPr>
        <w:spacing w:line="480" w:lineRule="auto"/>
        <w:ind w:left="0" w:firstLine="4320"/>
        <w:jc w:val="both"/>
        <w:rPr>
          <w:sz w:val="28"/>
          <w:szCs w:val="28"/>
        </w:rPr>
      </w:pPr>
      <w:r>
        <w:rPr>
          <w:sz w:val="28"/>
          <w:szCs w:val="28"/>
        </w:rPr>
        <w:lastRenderedPageBreak/>
        <w:t>For participants who live in a state that does not recognize same-sex marriages, a sponsor of the plan is permitted to delay recognition of their marriages until September 16, 2013, the date that Revenue Ruling 2013-17 was issued.</w:t>
      </w:r>
    </w:p>
    <w:p w:rsidR="00840361" w:rsidRDefault="00840361" w:rsidP="00FD1793">
      <w:pPr>
        <w:pStyle w:val="Work6"/>
        <w:numPr>
          <w:ilvl w:val="0"/>
          <w:numId w:val="40"/>
        </w:numPr>
        <w:spacing w:line="480" w:lineRule="auto"/>
        <w:ind w:left="0" w:firstLine="4320"/>
        <w:jc w:val="both"/>
        <w:rPr>
          <w:sz w:val="28"/>
          <w:szCs w:val="28"/>
        </w:rPr>
      </w:pPr>
      <w:r>
        <w:rPr>
          <w:sz w:val="28"/>
          <w:szCs w:val="28"/>
        </w:rPr>
        <w:t>A plan amendment is required to reflect the use of this optional effective date.</w:t>
      </w:r>
    </w:p>
    <w:p w:rsidR="00840361" w:rsidRDefault="00840361" w:rsidP="00FD1793">
      <w:pPr>
        <w:pStyle w:val="Work5"/>
        <w:spacing w:line="480" w:lineRule="auto"/>
        <w:ind w:left="0" w:firstLine="3600"/>
        <w:jc w:val="both"/>
        <w:rPr>
          <w:sz w:val="28"/>
          <w:szCs w:val="28"/>
        </w:rPr>
      </w:pPr>
      <w:r>
        <w:rPr>
          <w:sz w:val="28"/>
          <w:szCs w:val="28"/>
        </w:rPr>
        <w:t>A sponsor of a qualified retirement plan may elect to recognize same-sex marriages as of a date that is prior to June 26, 2013, for some or all purposes under the plan.  A plan amendment would be required to implement this optional retroactive effective date.</w:t>
      </w:r>
    </w:p>
    <w:p w:rsidR="00840361" w:rsidRDefault="00840361" w:rsidP="00FD1793">
      <w:pPr>
        <w:pStyle w:val="Work5"/>
        <w:spacing w:line="480" w:lineRule="auto"/>
        <w:ind w:left="0" w:firstLine="3600"/>
        <w:jc w:val="both"/>
        <w:rPr>
          <w:sz w:val="28"/>
          <w:szCs w:val="28"/>
        </w:rPr>
      </w:pPr>
      <w:r>
        <w:rPr>
          <w:sz w:val="28"/>
          <w:szCs w:val="28"/>
        </w:rPr>
        <w:t>Possible amendment of plan definitions required.</w:t>
      </w:r>
    </w:p>
    <w:p w:rsidR="00840361" w:rsidRDefault="00840361" w:rsidP="00FD1793">
      <w:pPr>
        <w:pStyle w:val="Work1"/>
        <w:numPr>
          <w:ilvl w:val="0"/>
          <w:numId w:val="41"/>
        </w:numPr>
        <w:spacing w:line="480" w:lineRule="auto"/>
        <w:ind w:left="0" w:firstLine="4320"/>
        <w:jc w:val="both"/>
        <w:rPr>
          <w:sz w:val="28"/>
          <w:szCs w:val="28"/>
        </w:rPr>
      </w:pPr>
      <w:r>
        <w:rPr>
          <w:sz w:val="28"/>
          <w:szCs w:val="28"/>
        </w:rPr>
        <w:t xml:space="preserve">If a qualified plan defines “spouse”, “legally married spouse”, “spouse under federal law”, etc. in a manner consistent with </w:t>
      </w:r>
      <w:r w:rsidRPr="00A33269">
        <w:rPr>
          <w:sz w:val="28"/>
          <w:szCs w:val="28"/>
          <w:u w:val="single"/>
        </w:rPr>
        <w:t>Windsor</w:t>
      </w:r>
      <w:r w:rsidRPr="00A800C7">
        <w:rPr>
          <w:sz w:val="28"/>
          <w:szCs w:val="28"/>
        </w:rPr>
        <w:t>,</w:t>
      </w:r>
      <w:r>
        <w:rPr>
          <w:sz w:val="28"/>
          <w:szCs w:val="28"/>
        </w:rPr>
        <w:t xml:space="preserve"> or does not define those terms, then the plan does not need to be amended so long as the plan has been properly administered.</w:t>
      </w:r>
    </w:p>
    <w:p w:rsidR="00840361" w:rsidRDefault="00840361" w:rsidP="00FD1793">
      <w:pPr>
        <w:pStyle w:val="Work1"/>
        <w:numPr>
          <w:ilvl w:val="0"/>
          <w:numId w:val="41"/>
        </w:numPr>
        <w:spacing w:line="480" w:lineRule="auto"/>
        <w:ind w:left="0" w:firstLine="4320"/>
        <w:jc w:val="both"/>
        <w:rPr>
          <w:sz w:val="28"/>
          <w:szCs w:val="28"/>
        </w:rPr>
      </w:pPr>
      <w:r>
        <w:rPr>
          <w:sz w:val="28"/>
          <w:szCs w:val="28"/>
        </w:rPr>
        <w:lastRenderedPageBreak/>
        <w:t xml:space="preserve">However, if the plan’s definitions of these terms are not consistent with the holding in </w:t>
      </w:r>
      <w:r w:rsidRPr="00A33269">
        <w:rPr>
          <w:sz w:val="28"/>
          <w:szCs w:val="28"/>
          <w:u w:val="single"/>
        </w:rPr>
        <w:t>Windsor</w:t>
      </w:r>
      <w:r>
        <w:rPr>
          <w:sz w:val="28"/>
          <w:szCs w:val="28"/>
        </w:rPr>
        <w:t xml:space="preserve">, then the plan </w:t>
      </w:r>
      <w:r w:rsidRPr="00A800C7">
        <w:rPr>
          <w:sz w:val="28"/>
          <w:szCs w:val="28"/>
          <w:u w:val="single"/>
        </w:rPr>
        <w:t>must</w:t>
      </w:r>
      <w:r>
        <w:rPr>
          <w:sz w:val="28"/>
          <w:szCs w:val="28"/>
        </w:rPr>
        <w:t xml:space="preserve"> be amended.</w:t>
      </w:r>
    </w:p>
    <w:p w:rsidR="00840361" w:rsidRDefault="00840361" w:rsidP="00FD1793">
      <w:pPr>
        <w:pStyle w:val="Work5"/>
        <w:spacing w:line="480" w:lineRule="auto"/>
        <w:ind w:left="0" w:firstLine="3600"/>
        <w:jc w:val="both"/>
        <w:rPr>
          <w:sz w:val="28"/>
          <w:szCs w:val="28"/>
        </w:rPr>
      </w:pPr>
      <w:r>
        <w:rPr>
          <w:sz w:val="28"/>
          <w:szCs w:val="28"/>
        </w:rPr>
        <w:t>For ERISA, Internal Revenue Code, and DOL Regulation purposes, the following is true:</w:t>
      </w:r>
    </w:p>
    <w:p w:rsidR="00840361" w:rsidRDefault="00840361" w:rsidP="00FD1793">
      <w:pPr>
        <w:pStyle w:val="Work5"/>
        <w:numPr>
          <w:ilvl w:val="0"/>
          <w:numId w:val="42"/>
        </w:numPr>
        <w:spacing w:line="480" w:lineRule="auto"/>
        <w:ind w:left="0" w:firstLine="4320"/>
        <w:jc w:val="both"/>
        <w:rPr>
          <w:sz w:val="28"/>
          <w:szCs w:val="28"/>
        </w:rPr>
      </w:pPr>
      <w:r>
        <w:rPr>
          <w:sz w:val="28"/>
          <w:szCs w:val="28"/>
        </w:rPr>
        <w:t>The term “spouse” includes an individual married to a person of the same gender IF he or she is lawfully married under state law (including foreign jurisdictions).</w:t>
      </w:r>
    </w:p>
    <w:p w:rsidR="00840361" w:rsidRDefault="00840361" w:rsidP="00FD1793">
      <w:pPr>
        <w:pStyle w:val="Work5"/>
        <w:numPr>
          <w:ilvl w:val="0"/>
          <w:numId w:val="42"/>
        </w:numPr>
        <w:spacing w:line="480" w:lineRule="auto"/>
        <w:ind w:left="0" w:firstLine="4320"/>
        <w:jc w:val="both"/>
        <w:rPr>
          <w:sz w:val="28"/>
          <w:szCs w:val="28"/>
        </w:rPr>
      </w:pPr>
      <w:r>
        <w:rPr>
          <w:sz w:val="28"/>
          <w:szCs w:val="28"/>
        </w:rPr>
        <w:t>The term “marriage” includes a marriage between individuals of the same gender.</w:t>
      </w:r>
    </w:p>
    <w:p w:rsidR="00840361" w:rsidRDefault="00840361" w:rsidP="00FD1793">
      <w:pPr>
        <w:pStyle w:val="Work5"/>
        <w:numPr>
          <w:ilvl w:val="0"/>
          <w:numId w:val="42"/>
        </w:numPr>
        <w:spacing w:line="480" w:lineRule="auto"/>
        <w:ind w:left="0" w:firstLine="4320"/>
        <w:jc w:val="both"/>
        <w:rPr>
          <w:sz w:val="28"/>
          <w:szCs w:val="28"/>
        </w:rPr>
      </w:pPr>
      <w:r>
        <w:rPr>
          <w:sz w:val="28"/>
          <w:szCs w:val="28"/>
        </w:rPr>
        <w:t>The term “spouse” does not include an individual in a registered domestic partnership or a civil union, and the term “marriage” does not include a registered domestic partnership or a civil union.</w:t>
      </w:r>
    </w:p>
    <w:p w:rsidR="00840361" w:rsidRDefault="00840361" w:rsidP="00FD1793">
      <w:pPr>
        <w:pStyle w:val="Work5"/>
        <w:numPr>
          <w:ilvl w:val="0"/>
          <w:numId w:val="42"/>
        </w:numPr>
        <w:spacing w:line="480" w:lineRule="auto"/>
        <w:ind w:left="0" w:firstLine="4320"/>
        <w:jc w:val="both"/>
        <w:rPr>
          <w:sz w:val="28"/>
          <w:szCs w:val="28"/>
        </w:rPr>
      </w:pPr>
      <w:r>
        <w:rPr>
          <w:sz w:val="28"/>
          <w:szCs w:val="28"/>
        </w:rPr>
        <w:t xml:space="preserve">A same-sex marriage validly entered into in a state or foreign jurisdiction that permits same-sex marriages will be recognized </w:t>
      </w:r>
      <w:r w:rsidRPr="002662B2">
        <w:rPr>
          <w:sz w:val="28"/>
          <w:szCs w:val="28"/>
          <w:u w:val="single"/>
        </w:rPr>
        <w:t>regardless</w:t>
      </w:r>
      <w:r>
        <w:rPr>
          <w:sz w:val="28"/>
          <w:szCs w:val="28"/>
        </w:rPr>
        <w:t xml:space="preserve"> of whether the couple moves to or lives in</w:t>
      </w:r>
      <w:r w:rsidRPr="0077657C">
        <w:rPr>
          <w:sz w:val="28"/>
          <w:szCs w:val="28"/>
        </w:rPr>
        <w:t xml:space="preserve"> a state that does not permit or recognize same-sex marriages.</w:t>
      </w:r>
    </w:p>
    <w:p w:rsidR="00B278FD" w:rsidRPr="0077657C" w:rsidRDefault="00B278FD" w:rsidP="00FD1793">
      <w:pPr>
        <w:pStyle w:val="Work5"/>
        <w:numPr>
          <w:ilvl w:val="0"/>
          <w:numId w:val="0"/>
        </w:numPr>
        <w:spacing w:after="0" w:line="480" w:lineRule="auto"/>
        <w:ind w:firstLine="3600"/>
        <w:jc w:val="both"/>
        <w:rPr>
          <w:sz w:val="28"/>
          <w:szCs w:val="28"/>
        </w:rPr>
      </w:pPr>
      <w:r>
        <w:rPr>
          <w:sz w:val="28"/>
          <w:szCs w:val="28"/>
        </w:rPr>
        <w:lastRenderedPageBreak/>
        <w:t>(7)</w:t>
      </w:r>
      <w:r>
        <w:rPr>
          <w:sz w:val="28"/>
          <w:szCs w:val="28"/>
        </w:rPr>
        <w:tab/>
        <w:t xml:space="preserve">In </w:t>
      </w:r>
      <w:r w:rsidRPr="00B278FD">
        <w:rPr>
          <w:sz w:val="28"/>
          <w:szCs w:val="28"/>
          <w:u w:val="single"/>
        </w:rPr>
        <w:t xml:space="preserve">Schuett v. FedEx </w:t>
      </w:r>
      <w:r w:rsidR="00422B49">
        <w:rPr>
          <w:sz w:val="28"/>
          <w:szCs w:val="28"/>
          <w:u w:val="single"/>
        </w:rPr>
        <w:t xml:space="preserve">Corporation, </w:t>
      </w:r>
      <w:r w:rsidRPr="00B278FD">
        <w:rPr>
          <w:sz w:val="28"/>
          <w:szCs w:val="28"/>
          <w:u w:val="single"/>
        </w:rPr>
        <w:t>et al.</w:t>
      </w:r>
      <w:r>
        <w:rPr>
          <w:sz w:val="28"/>
          <w:szCs w:val="28"/>
        </w:rPr>
        <w:t xml:space="preserve">, </w:t>
      </w:r>
      <w:r w:rsidR="00866473">
        <w:rPr>
          <w:sz w:val="28"/>
          <w:szCs w:val="28"/>
        </w:rPr>
        <w:t>No. 15-CV-0189, N.D. </w:t>
      </w:r>
      <w:r w:rsidR="00974478">
        <w:rPr>
          <w:sz w:val="28"/>
          <w:szCs w:val="28"/>
        </w:rPr>
        <w:t xml:space="preserve">Calif., 2016 U.S. Dist. LEXIS 224, </w:t>
      </w:r>
      <w:r>
        <w:rPr>
          <w:sz w:val="28"/>
          <w:szCs w:val="28"/>
        </w:rPr>
        <w:t xml:space="preserve">the Federal District Court in the </w:t>
      </w:r>
      <w:r w:rsidR="00CD79DD">
        <w:rPr>
          <w:sz w:val="28"/>
          <w:szCs w:val="28"/>
        </w:rPr>
        <w:t>N</w:t>
      </w:r>
      <w:r>
        <w:rPr>
          <w:sz w:val="28"/>
          <w:szCs w:val="28"/>
        </w:rPr>
        <w:t>orthern</w:t>
      </w:r>
      <w:r w:rsidR="00B12812">
        <w:rPr>
          <w:sz w:val="28"/>
          <w:szCs w:val="28"/>
        </w:rPr>
        <w:t xml:space="preserve"> </w:t>
      </w:r>
      <w:r w:rsidR="00CD79DD">
        <w:rPr>
          <w:sz w:val="28"/>
          <w:szCs w:val="28"/>
        </w:rPr>
        <w:t>D</w:t>
      </w:r>
      <w:r w:rsidR="00B12812">
        <w:rPr>
          <w:sz w:val="28"/>
          <w:szCs w:val="28"/>
        </w:rPr>
        <w:t xml:space="preserve">istrict of California applied </w:t>
      </w:r>
      <w:r w:rsidR="00B12812" w:rsidRPr="00B12812">
        <w:rPr>
          <w:sz w:val="28"/>
          <w:szCs w:val="28"/>
          <w:u w:val="single"/>
        </w:rPr>
        <w:t>Windsor</w:t>
      </w:r>
      <w:r w:rsidR="00B12812">
        <w:rPr>
          <w:sz w:val="28"/>
          <w:szCs w:val="28"/>
        </w:rPr>
        <w:t xml:space="preserve"> retroactively, allowing a lesbian widow to pursue her claim to spousal benefits under her deceased spouse’s pension plan.</w:t>
      </w:r>
      <w:r w:rsidR="007E1674">
        <w:rPr>
          <w:sz w:val="28"/>
          <w:szCs w:val="28"/>
        </w:rPr>
        <w:t xml:space="preserve">  This same sex couple was married on June 19, 2013, and one of the spouse’s passed away one (1) day later.  Six (6) days later, the United States Supreme Court issued its decision in </w:t>
      </w:r>
      <w:r w:rsidR="007E1674" w:rsidRPr="007E1674">
        <w:rPr>
          <w:sz w:val="28"/>
          <w:szCs w:val="28"/>
          <w:u w:val="single"/>
        </w:rPr>
        <w:t>Windsor</w:t>
      </w:r>
      <w:r w:rsidR="007E1674">
        <w:rPr>
          <w:sz w:val="28"/>
          <w:szCs w:val="28"/>
        </w:rPr>
        <w:t xml:space="preserve">. </w:t>
      </w:r>
    </w:p>
    <w:p w:rsidR="00840361" w:rsidRPr="0077657C" w:rsidRDefault="00840361" w:rsidP="00FD1793">
      <w:pPr>
        <w:pStyle w:val="Work4"/>
        <w:spacing w:line="480" w:lineRule="auto"/>
        <w:ind w:left="0" w:firstLine="2880"/>
        <w:jc w:val="both"/>
        <w:rPr>
          <w:sz w:val="28"/>
          <w:szCs w:val="28"/>
        </w:rPr>
      </w:pPr>
      <w:r w:rsidRPr="0077657C">
        <w:rPr>
          <w:sz w:val="28"/>
          <w:szCs w:val="28"/>
        </w:rPr>
        <w:t xml:space="preserve">The Impact of the </w:t>
      </w:r>
      <w:r w:rsidRPr="0077657C">
        <w:rPr>
          <w:b/>
          <w:sz w:val="28"/>
          <w:szCs w:val="28"/>
          <w:u w:val="single"/>
        </w:rPr>
        <w:t>Obergefe</w:t>
      </w:r>
      <w:r>
        <w:rPr>
          <w:b/>
          <w:sz w:val="28"/>
          <w:szCs w:val="28"/>
          <w:u w:val="single"/>
        </w:rPr>
        <w:t>l</w:t>
      </w:r>
      <w:r w:rsidRPr="0077657C">
        <w:rPr>
          <w:b/>
          <w:sz w:val="28"/>
          <w:szCs w:val="28"/>
          <w:u w:val="single"/>
        </w:rPr>
        <w:t>l</w:t>
      </w:r>
      <w:r w:rsidRPr="0077657C">
        <w:rPr>
          <w:sz w:val="28"/>
          <w:szCs w:val="28"/>
        </w:rPr>
        <w:t xml:space="preserve"> holding.</w:t>
      </w:r>
    </w:p>
    <w:p w:rsidR="00840361" w:rsidRPr="0077657C" w:rsidRDefault="00840361" w:rsidP="00FD1793">
      <w:pPr>
        <w:pStyle w:val="Work5"/>
        <w:spacing w:line="480" w:lineRule="auto"/>
        <w:ind w:left="0" w:firstLine="3600"/>
        <w:jc w:val="both"/>
        <w:rPr>
          <w:sz w:val="28"/>
          <w:szCs w:val="28"/>
        </w:rPr>
      </w:pPr>
      <w:r w:rsidRPr="0077657C">
        <w:rPr>
          <w:sz w:val="28"/>
          <w:szCs w:val="28"/>
        </w:rPr>
        <w:t xml:space="preserve">Following in the wake of </w:t>
      </w:r>
      <w:r w:rsidRPr="0077657C">
        <w:rPr>
          <w:sz w:val="28"/>
          <w:szCs w:val="28"/>
          <w:u w:val="single"/>
        </w:rPr>
        <w:t>Windsor</w:t>
      </w:r>
      <w:r w:rsidRPr="0077657C">
        <w:rPr>
          <w:sz w:val="28"/>
          <w:szCs w:val="28"/>
        </w:rPr>
        <w:t xml:space="preserve"> in 2013, on June 26, 2015, the United States Supreme Court in </w:t>
      </w:r>
      <w:r w:rsidRPr="0077657C">
        <w:rPr>
          <w:sz w:val="28"/>
          <w:szCs w:val="28"/>
          <w:u w:val="single"/>
        </w:rPr>
        <w:t>Obergefell v. Hodges</w:t>
      </w:r>
      <w:r>
        <w:rPr>
          <w:sz w:val="28"/>
          <w:szCs w:val="28"/>
        </w:rPr>
        <w:t>, 135 S.Ct. 2584 (2015)</w:t>
      </w:r>
      <w:r w:rsidRPr="0077657C">
        <w:rPr>
          <w:sz w:val="28"/>
          <w:szCs w:val="28"/>
        </w:rPr>
        <w:t xml:space="preserve"> held that same-sex married couples are entitled to equal protection under the laws of every state, and that their marriages must be recognized nationwide. As such, any state prohibitions against the recognition of a same-sex marriage were held to violate the 14</w:t>
      </w:r>
      <w:r w:rsidRPr="0077657C">
        <w:rPr>
          <w:sz w:val="28"/>
          <w:szCs w:val="28"/>
          <w:vertAlign w:val="superscript"/>
        </w:rPr>
        <w:t>th</w:t>
      </w:r>
      <w:r w:rsidRPr="0077657C">
        <w:rPr>
          <w:sz w:val="28"/>
          <w:szCs w:val="28"/>
        </w:rPr>
        <w:t xml:space="preserve"> Amendment and were invalidated. </w:t>
      </w:r>
    </w:p>
    <w:p w:rsidR="00840361" w:rsidRPr="0077657C" w:rsidRDefault="00840361" w:rsidP="00FD1793">
      <w:pPr>
        <w:pStyle w:val="Work5"/>
        <w:spacing w:line="480" w:lineRule="auto"/>
        <w:ind w:left="0" w:firstLine="3600"/>
        <w:jc w:val="both"/>
        <w:rPr>
          <w:sz w:val="28"/>
          <w:szCs w:val="28"/>
        </w:rPr>
      </w:pPr>
      <w:r w:rsidRPr="0077657C">
        <w:rPr>
          <w:sz w:val="28"/>
          <w:szCs w:val="28"/>
        </w:rPr>
        <w:t xml:space="preserve">Because state laws banning same sex marriage are effectively invalidated, after </w:t>
      </w:r>
      <w:r w:rsidRPr="0077657C">
        <w:rPr>
          <w:sz w:val="28"/>
          <w:szCs w:val="28"/>
          <w:u w:val="single"/>
        </w:rPr>
        <w:t>Obergefell</w:t>
      </w:r>
      <w:r w:rsidRPr="0077657C">
        <w:rPr>
          <w:sz w:val="28"/>
          <w:szCs w:val="28"/>
        </w:rPr>
        <w:t>, same-sex couples are afforded the same spousal rights that other couples enjoy. Spousal rights that occur independent of proactive planning and that are now equally granted to same-sex couples include</w:t>
      </w:r>
      <w:r>
        <w:rPr>
          <w:sz w:val="28"/>
          <w:szCs w:val="28"/>
        </w:rPr>
        <w:t>,</w:t>
      </w:r>
      <w:r w:rsidRPr="0077657C">
        <w:rPr>
          <w:sz w:val="28"/>
          <w:szCs w:val="28"/>
        </w:rPr>
        <w:t xml:space="preserve"> among others</w:t>
      </w:r>
      <w:r>
        <w:rPr>
          <w:sz w:val="28"/>
          <w:szCs w:val="28"/>
        </w:rPr>
        <w:t>, (i)</w:t>
      </w:r>
      <w:r w:rsidRPr="0077657C">
        <w:rPr>
          <w:sz w:val="28"/>
          <w:szCs w:val="28"/>
        </w:rPr>
        <w:t xml:space="preserve"> spousal survivorship rights under state pension or </w:t>
      </w:r>
      <w:r w:rsidRPr="0077657C">
        <w:rPr>
          <w:sz w:val="28"/>
          <w:szCs w:val="28"/>
        </w:rPr>
        <w:lastRenderedPageBreak/>
        <w:t>other retirement benefits</w:t>
      </w:r>
      <w:r>
        <w:rPr>
          <w:sz w:val="28"/>
          <w:szCs w:val="28"/>
        </w:rPr>
        <w:t>,</w:t>
      </w:r>
      <w:r w:rsidRPr="0077657C">
        <w:rPr>
          <w:sz w:val="28"/>
          <w:szCs w:val="28"/>
        </w:rPr>
        <w:t xml:space="preserve"> even in states that previously did not recognize same-sex marriage and the ability to file tax returns as a married couple and</w:t>
      </w:r>
      <w:r>
        <w:rPr>
          <w:sz w:val="28"/>
          <w:szCs w:val="28"/>
        </w:rPr>
        <w:t xml:space="preserve"> (ii)</w:t>
      </w:r>
      <w:r w:rsidRPr="0077657C">
        <w:rPr>
          <w:sz w:val="28"/>
          <w:szCs w:val="28"/>
        </w:rPr>
        <w:t xml:space="preserve"> take advantage of the married couple’s state estate tax exemption where applicable. </w:t>
      </w:r>
    </w:p>
    <w:p w:rsidR="00840361" w:rsidRPr="0077657C" w:rsidRDefault="00840361" w:rsidP="00FD1793">
      <w:pPr>
        <w:pStyle w:val="Work5"/>
        <w:spacing w:line="480" w:lineRule="auto"/>
        <w:ind w:left="0" w:firstLine="3600"/>
        <w:jc w:val="both"/>
        <w:rPr>
          <w:sz w:val="28"/>
          <w:szCs w:val="28"/>
        </w:rPr>
      </w:pPr>
      <w:r w:rsidRPr="0077657C">
        <w:rPr>
          <w:sz w:val="28"/>
          <w:szCs w:val="28"/>
        </w:rPr>
        <w:t xml:space="preserve">After </w:t>
      </w:r>
      <w:r w:rsidRPr="0077657C">
        <w:rPr>
          <w:sz w:val="28"/>
          <w:szCs w:val="28"/>
          <w:u w:val="single"/>
        </w:rPr>
        <w:t>Windsor</w:t>
      </w:r>
      <w:r w:rsidRPr="0077657C">
        <w:rPr>
          <w:sz w:val="28"/>
          <w:szCs w:val="28"/>
        </w:rPr>
        <w:t xml:space="preserve">, same-sex married couples are to receive equal treatment under federal law and are to be treated the same as any other married couple for federal tax purposes and for other benefits under federal law (including spousal rights under ERISA, etc.). Now, in the aftermath of </w:t>
      </w:r>
      <w:r w:rsidRPr="0077657C">
        <w:rPr>
          <w:sz w:val="28"/>
          <w:szCs w:val="28"/>
          <w:u w:val="single"/>
        </w:rPr>
        <w:t>Obergefell</w:t>
      </w:r>
      <w:r w:rsidRPr="0077657C">
        <w:rPr>
          <w:sz w:val="28"/>
          <w:szCs w:val="28"/>
        </w:rPr>
        <w:t>, same-sex couples have been elevated to equal stature with other marriages and are entitled to equal protection under the laws of every state.</w:t>
      </w:r>
    </w:p>
    <w:p w:rsidR="00840361" w:rsidRPr="00821285" w:rsidRDefault="00840361" w:rsidP="000B7293">
      <w:pPr>
        <w:pStyle w:val="Work3"/>
        <w:spacing w:line="480" w:lineRule="auto"/>
        <w:ind w:left="0" w:firstLine="2160"/>
        <w:jc w:val="both"/>
        <w:rPr>
          <w:rFonts w:cs="Times New Roman"/>
          <w:sz w:val="28"/>
          <w:szCs w:val="28"/>
        </w:rPr>
      </w:pPr>
      <w:r w:rsidRPr="00821285">
        <w:rPr>
          <w:rFonts w:cs="Times New Roman"/>
          <w:sz w:val="28"/>
          <w:szCs w:val="28"/>
        </w:rPr>
        <w:t>Distributions After Death if a Non-Spouse is Beneficiary (Non-Spouse Rollovers)</w:t>
      </w:r>
    </w:p>
    <w:p w:rsidR="00840361" w:rsidRDefault="00840361" w:rsidP="004F3984">
      <w:pPr>
        <w:pStyle w:val="Work4"/>
        <w:spacing w:line="480" w:lineRule="auto"/>
        <w:ind w:left="0" w:firstLine="2880"/>
        <w:jc w:val="both"/>
        <w:rPr>
          <w:rFonts w:cs="Times New Roman"/>
          <w:sz w:val="28"/>
          <w:szCs w:val="28"/>
        </w:rPr>
      </w:pPr>
      <w:r w:rsidRPr="00821285">
        <w:rPr>
          <w:rFonts w:cs="Times New Roman"/>
          <w:sz w:val="28"/>
          <w:szCs w:val="28"/>
        </w:rPr>
        <w:t xml:space="preserve">If someone other than the spouse is the beneficiary, the beneficiary’s RMD depends on whether there is a “Designated Beneficiary” of the account, as that term is specifically defined in Treasury Regulation </w:t>
      </w:r>
      <w:r>
        <w:rPr>
          <w:rFonts w:cs="Times New Roman"/>
          <w:sz w:val="28"/>
          <w:szCs w:val="28"/>
        </w:rPr>
        <w:t>§ </w:t>
      </w:r>
      <w:r w:rsidRPr="00821285">
        <w:rPr>
          <w:rFonts w:cs="Times New Roman"/>
          <w:sz w:val="28"/>
          <w:szCs w:val="28"/>
        </w:rPr>
        <w:t xml:space="preserve">1.401(a)(9)-5.  Although individuals </w:t>
      </w:r>
      <w:r>
        <w:rPr>
          <w:rFonts w:cs="Times New Roman"/>
          <w:sz w:val="28"/>
          <w:szCs w:val="28"/>
        </w:rPr>
        <w:t xml:space="preserve">qualify as </w:t>
      </w:r>
      <w:r w:rsidRPr="00821285">
        <w:rPr>
          <w:rFonts w:cs="Times New Roman"/>
          <w:sz w:val="28"/>
          <w:szCs w:val="28"/>
        </w:rPr>
        <w:t xml:space="preserve">Designated Beneficiaries, estates, states, charities, and business entities </w:t>
      </w:r>
      <w:r>
        <w:rPr>
          <w:rFonts w:cs="Times New Roman"/>
          <w:sz w:val="28"/>
          <w:szCs w:val="28"/>
        </w:rPr>
        <w:t xml:space="preserve">do </w:t>
      </w:r>
      <w:r w:rsidRPr="00821285">
        <w:rPr>
          <w:rFonts w:cs="Times New Roman"/>
          <w:sz w:val="28"/>
          <w:szCs w:val="28"/>
          <w:u w:val="single"/>
        </w:rPr>
        <w:t>not</w:t>
      </w:r>
      <w:r w:rsidRPr="00821285">
        <w:rPr>
          <w:rFonts w:cs="Times New Roman"/>
          <w:sz w:val="28"/>
          <w:szCs w:val="28"/>
        </w:rPr>
        <w:t xml:space="preserve"> </w:t>
      </w:r>
      <w:r>
        <w:rPr>
          <w:rFonts w:cs="Times New Roman"/>
          <w:sz w:val="28"/>
          <w:szCs w:val="28"/>
        </w:rPr>
        <w:t xml:space="preserve">qualify as </w:t>
      </w:r>
      <w:r w:rsidRPr="00821285">
        <w:rPr>
          <w:rFonts w:cs="Times New Roman"/>
          <w:sz w:val="28"/>
          <w:szCs w:val="28"/>
        </w:rPr>
        <w:t xml:space="preserve">Designated Beneficiaries for these purposes.  Treas. Reg. </w:t>
      </w:r>
      <w:r>
        <w:rPr>
          <w:rFonts w:cs="Times New Roman"/>
          <w:sz w:val="28"/>
          <w:szCs w:val="28"/>
        </w:rPr>
        <w:t>§ </w:t>
      </w:r>
      <w:r w:rsidRPr="00821285">
        <w:rPr>
          <w:rFonts w:cs="Times New Roman"/>
          <w:sz w:val="28"/>
          <w:szCs w:val="28"/>
        </w:rPr>
        <w:t>1.401(a)(9)-4.</w:t>
      </w:r>
    </w:p>
    <w:p w:rsidR="00597AC4" w:rsidRDefault="005E20A3" w:rsidP="004F3984">
      <w:pPr>
        <w:pStyle w:val="Work5"/>
        <w:spacing w:line="480" w:lineRule="auto"/>
        <w:ind w:left="0" w:firstLine="3600"/>
        <w:jc w:val="both"/>
        <w:rPr>
          <w:sz w:val="28"/>
          <w:szCs w:val="28"/>
        </w:rPr>
      </w:pPr>
      <w:r>
        <w:rPr>
          <w:sz w:val="28"/>
          <w:szCs w:val="28"/>
        </w:rPr>
        <w:t xml:space="preserve">A trio of 2016 private letter rulings illustrate the rigidity of the Designated Beneficiary rules.  In each of these letter ruling fact </w:t>
      </w:r>
      <w:r>
        <w:rPr>
          <w:sz w:val="28"/>
          <w:szCs w:val="28"/>
        </w:rPr>
        <w:lastRenderedPageBreak/>
        <w:t xml:space="preserve">patterns, the taxpayer had designated a beneficiary on his IRA showing three separate trusts, each of which qualified as a Designated Beneficiary.  Later that year, the taxpayer’s financial advisors joined another firm and became affiliated with a different custodian, which required new IRA documents.  At that time, the custodian had the taxpayer sign new beneficiary forms, which named the taxpayer’s estate as the primary beneficiary.  Upon the </w:t>
      </w:r>
      <w:r w:rsidR="00946D4C">
        <w:rPr>
          <w:sz w:val="28"/>
          <w:szCs w:val="28"/>
        </w:rPr>
        <w:t>owner</w:t>
      </w:r>
      <w:r>
        <w:rPr>
          <w:sz w:val="28"/>
          <w:szCs w:val="28"/>
        </w:rPr>
        <w:t xml:space="preserve">’s death, this error was discovered and the trustees of the trusts petitioned the local probate court to reform the beneficiary designation retroactive to the </w:t>
      </w:r>
      <w:r w:rsidR="00850110">
        <w:rPr>
          <w:sz w:val="28"/>
          <w:szCs w:val="28"/>
        </w:rPr>
        <w:t xml:space="preserve">time </w:t>
      </w:r>
      <w:r>
        <w:rPr>
          <w:sz w:val="28"/>
          <w:szCs w:val="28"/>
        </w:rPr>
        <w:t xml:space="preserve">before the mistaken form was </w:t>
      </w:r>
      <w:r w:rsidR="00850110">
        <w:rPr>
          <w:sz w:val="28"/>
          <w:szCs w:val="28"/>
        </w:rPr>
        <w:t xml:space="preserve">executed by the </w:t>
      </w:r>
      <w:r w:rsidR="00027106">
        <w:rPr>
          <w:sz w:val="28"/>
          <w:szCs w:val="28"/>
        </w:rPr>
        <w:t>decedent</w:t>
      </w:r>
      <w:r w:rsidR="00850110">
        <w:rPr>
          <w:sz w:val="28"/>
          <w:szCs w:val="28"/>
        </w:rPr>
        <w:t xml:space="preserve"> which relief was granted by the local court.  However, in each of these rulings, the IRS refused to recognize the reformed designations, and held that the estate was the beneficiary at the time of the taxpayer’s death</w:t>
      </w:r>
      <w:r w:rsidR="009D2C52">
        <w:rPr>
          <w:sz w:val="28"/>
          <w:szCs w:val="28"/>
        </w:rPr>
        <w:t>,</w:t>
      </w:r>
      <w:r w:rsidR="00850110">
        <w:rPr>
          <w:sz w:val="28"/>
          <w:szCs w:val="28"/>
        </w:rPr>
        <w:t xml:space="preserve"> and therefore</w:t>
      </w:r>
      <w:r w:rsidR="009D2C52">
        <w:rPr>
          <w:sz w:val="28"/>
          <w:szCs w:val="28"/>
        </w:rPr>
        <w:t>,</w:t>
      </w:r>
      <w:r w:rsidR="00850110">
        <w:rPr>
          <w:sz w:val="28"/>
          <w:szCs w:val="28"/>
        </w:rPr>
        <w:t xml:space="preserve"> none of the IRAs had a Designated Beneficiary.</w:t>
      </w:r>
    </w:p>
    <w:p w:rsidR="00850110" w:rsidRPr="00597AC4" w:rsidRDefault="00850110" w:rsidP="004F3984">
      <w:pPr>
        <w:pStyle w:val="Work5"/>
        <w:spacing w:line="480" w:lineRule="auto"/>
        <w:ind w:left="0" w:firstLine="3600"/>
        <w:jc w:val="both"/>
        <w:rPr>
          <w:sz w:val="28"/>
          <w:szCs w:val="28"/>
        </w:rPr>
      </w:pPr>
      <w:r>
        <w:rPr>
          <w:sz w:val="28"/>
          <w:szCs w:val="28"/>
        </w:rPr>
        <w:t xml:space="preserve">If you inherit a situation like this, don’t give up on trying multiple post-mortem remedies! </w:t>
      </w:r>
    </w:p>
    <w:p w:rsidR="00840361" w:rsidRPr="00821285" w:rsidRDefault="00840361" w:rsidP="004F3984">
      <w:pPr>
        <w:pStyle w:val="Work4"/>
        <w:spacing w:after="0" w:line="480" w:lineRule="auto"/>
        <w:ind w:left="0" w:firstLine="2880"/>
        <w:jc w:val="both"/>
        <w:rPr>
          <w:rFonts w:cs="Times New Roman"/>
          <w:sz w:val="28"/>
          <w:szCs w:val="28"/>
        </w:rPr>
      </w:pPr>
      <w:r w:rsidRPr="00821285">
        <w:rPr>
          <w:rFonts w:cs="Times New Roman"/>
          <w:sz w:val="28"/>
          <w:szCs w:val="28"/>
        </w:rPr>
        <w:t>If there is a Designated Beneficiary</w:t>
      </w:r>
      <w:r>
        <w:rPr>
          <w:rFonts w:cs="Times New Roman"/>
          <w:sz w:val="28"/>
          <w:szCs w:val="28"/>
        </w:rPr>
        <w:t xml:space="preserve"> - </w:t>
      </w:r>
    </w:p>
    <w:p w:rsidR="00840361" w:rsidRPr="00821285" w:rsidRDefault="00840361" w:rsidP="004F3984">
      <w:pPr>
        <w:pStyle w:val="Work7"/>
        <w:spacing w:after="0" w:line="480" w:lineRule="auto"/>
        <w:ind w:left="0" w:firstLine="3600"/>
        <w:jc w:val="both"/>
        <w:rPr>
          <w:rFonts w:cs="Times New Roman"/>
          <w:sz w:val="28"/>
          <w:szCs w:val="28"/>
        </w:rPr>
      </w:pPr>
      <w:r w:rsidRPr="00821285">
        <w:rPr>
          <w:rFonts w:cs="Times New Roman"/>
          <w:sz w:val="28"/>
          <w:szCs w:val="28"/>
        </w:rPr>
        <w:t xml:space="preserve">If the taxpayer died </w:t>
      </w:r>
      <w:r w:rsidRPr="00821285">
        <w:rPr>
          <w:rFonts w:cs="Times New Roman"/>
          <w:sz w:val="28"/>
          <w:szCs w:val="28"/>
          <w:u w:val="single"/>
        </w:rPr>
        <w:t>before</w:t>
      </w:r>
      <w:r w:rsidRPr="00821285">
        <w:rPr>
          <w:rFonts w:cs="Times New Roman"/>
          <w:sz w:val="28"/>
          <w:szCs w:val="28"/>
        </w:rPr>
        <w:t xml:space="preserve"> the taxpayer’s RBD, then the beneficiary’s RMD is based on an IRS table that takes into account the beneficiary’s life expectancy.  </w:t>
      </w:r>
      <w:r>
        <w:rPr>
          <w:rFonts w:cs="Times New Roman"/>
          <w:sz w:val="28"/>
          <w:szCs w:val="28"/>
        </w:rPr>
        <w:t>This is the “Single Life Table,” found at Treas. Reg. § 1.401(a)(9)-9(A-1).</w:t>
      </w:r>
    </w:p>
    <w:p w:rsidR="00840361" w:rsidRPr="00821285" w:rsidRDefault="00840361" w:rsidP="004F3984">
      <w:pPr>
        <w:pStyle w:val="Work7"/>
        <w:spacing w:after="0" w:line="480" w:lineRule="auto"/>
        <w:ind w:left="0" w:firstLine="3600"/>
        <w:jc w:val="both"/>
        <w:rPr>
          <w:rFonts w:cs="Times New Roman"/>
          <w:sz w:val="28"/>
          <w:szCs w:val="28"/>
        </w:rPr>
      </w:pPr>
      <w:r w:rsidRPr="00821285">
        <w:rPr>
          <w:rFonts w:cs="Times New Roman"/>
          <w:sz w:val="28"/>
          <w:szCs w:val="28"/>
        </w:rPr>
        <w:lastRenderedPageBreak/>
        <w:t xml:space="preserve">If the taxpayer died </w:t>
      </w:r>
      <w:r w:rsidRPr="00821285">
        <w:rPr>
          <w:rFonts w:cs="Times New Roman"/>
          <w:sz w:val="28"/>
          <w:szCs w:val="28"/>
          <w:u w:val="single"/>
        </w:rPr>
        <w:t>after</w:t>
      </w:r>
      <w:r w:rsidRPr="00821285">
        <w:rPr>
          <w:rFonts w:cs="Times New Roman"/>
          <w:sz w:val="28"/>
          <w:szCs w:val="28"/>
        </w:rPr>
        <w:t xml:space="preserve"> the taxpayer’s RBD, then the beneficiary’s RMD is based on an IRS table that takes into account the longer of (i) </w:t>
      </w:r>
      <w:r>
        <w:rPr>
          <w:rFonts w:cs="Times New Roman"/>
          <w:sz w:val="28"/>
          <w:szCs w:val="28"/>
        </w:rPr>
        <w:t xml:space="preserve">the </w:t>
      </w:r>
      <w:r w:rsidRPr="00821285">
        <w:rPr>
          <w:rFonts w:cs="Times New Roman"/>
          <w:sz w:val="28"/>
          <w:szCs w:val="28"/>
        </w:rPr>
        <w:t xml:space="preserve">beneficiary’s life expectancy </w:t>
      </w:r>
      <w:r>
        <w:rPr>
          <w:rFonts w:cs="Times New Roman"/>
          <w:sz w:val="28"/>
          <w:szCs w:val="28"/>
        </w:rPr>
        <w:t xml:space="preserve">from the Single Life Table (based on the beneficiary’s age in the calendar year after the calendar year of the account owner’s death), </w:t>
      </w:r>
      <w:r w:rsidRPr="00821285">
        <w:rPr>
          <w:rFonts w:cs="Times New Roman"/>
          <w:sz w:val="28"/>
          <w:szCs w:val="28"/>
        </w:rPr>
        <w:t xml:space="preserve">or (ii) </w:t>
      </w:r>
      <w:r>
        <w:rPr>
          <w:rFonts w:cs="Times New Roman"/>
          <w:sz w:val="28"/>
          <w:szCs w:val="28"/>
        </w:rPr>
        <w:t xml:space="preserve">the </w:t>
      </w:r>
      <w:r w:rsidRPr="00821285">
        <w:rPr>
          <w:rFonts w:cs="Times New Roman"/>
          <w:sz w:val="28"/>
          <w:szCs w:val="28"/>
        </w:rPr>
        <w:t>taxpayer’s life expectancy</w:t>
      </w:r>
      <w:r>
        <w:rPr>
          <w:rFonts w:cs="Times New Roman"/>
          <w:sz w:val="28"/>
          <w:szCs w:val="28"/>
        </w:rPr>
        <w:t xml:space="preserve"> from the Single Life Table, based on the taxpayer’s age in the calendar year of the taxpayer’s death</w:t>
      </w:r>
      <w:r w:rsidRPr="00821285">
        <w:rPr>
          <w:rFonts w:cs="Times New Roman"/>
          <w:sz w:val="28"/>
          <w:szCs w:val="28"/>
        </w:rPr>
        <w:t>.</w:t>
      </w:r>
    </w:p>
    <w:p w:rsidR="00840361" w:rsidRPr="00821285" w:rsidRDefault="00840361" w:rsidP="004F3984">
      <w:pPr>
        <w:pStyle w:val="Work4"/>
        <w:spacing w:after="0" w:line="480" w:lineRule="auto"/>
        <w:ind w:left="0" w:firstLine="2880"/>
        <w:jc w:val="both"/>
        <w:rPr>
          <w:rFonts w:cs="Times New Roman"/>
          <w:sz w:val="28"/>
          <w:szCs w:val="28"/>
        </w:rPr>
      </w:pPr>
      <w:r w:rsidRPr="00821285">
        <w:rPr>
          <w:rFonts w:cs="Times New Roman"/>
          <w:sz w:val="28"/>
          <w:szCs w:val="28"/>
        </w:rPr>
        <w:t xml:space="preserve">If there is </w:t>
      </w:r>
      <w:r w:rsidRPr="00821285">
        <w:rPr>
          <w:rFonts w:cs="Times New Roman"/>
          <w:sz w:val="28"/>
          <w:szCs w:val="28"/>
          <w:u w:val="single"/>
        </w:rPr>
        <w:t>no</w:t>
      </w:r>
      <w:r w:rsidRPr="00821285">
        <w:rPr>
          <w:rFonts w:cs="Times New Roman"/>
          <w:sz w:val="28"/>
          <w:szCs w:val="28"/>
        </w:rPr>
        <w:t xml:space="preserve"> Designated Beneficiary</w:t>
      </w:r>
    </w:p>
    <w:p w:rsidR="00840361" w:rsidRPr="00821285" w:rsidRDefault="00840361" w:rsidP="004F3984">
      <w:pPr>
        <w:pStyle w:val="ListParagraph"/>
        <w:widowControl/>
        <w:numPr>
          <w:ilvl w:val="1"/>
          <w:numId w:val="19"/>
        </w:numPr>
        <w:tabs>
          <w:tab w:val="clear" w:pos="4590"/>
          <w:tab w:val="num" w:pos="4320"/>
        </w:tabs>
        <w:spacing w:after="0" w:line="480" w:lineRule="auto"/>
        <w:ind w:left="0" w:firstLine="3600"/>
        <w:jc w:val="both"/>
        <w:rPr>
          <w:rFonts w:ascii="Times New Roman" w:hAnsi="Times New Roman" w:cs="Times New Roman"/>
          <w:sz w:val="28"/>
          <w:szCs w:val="28"/>
        </w:rPr>
      </w:pPr>
      <w:r w:rsidRPr="00821285">
        <w:rPr>
          <w:rFonts w:ascii="Times New Roman" w:hAnsi="Times New Roman" w:cs="Times New Roman"/>
          <w:sz w:val="28"/>
          <w:szCs w:val="28"/>
        </w:rPr>
        <w:t xml:space="preserve">If the taxpayer died </w:t>
      </w:r>
      <w:r w:rsidRPr="00821285">
        <w:rPr>
          <w:rFonts w:ascii="Times New Roman" w:hAnsi="Times New Roman" w:cs="Times New Roman"/>
          <w:sz w:val="28"/>
          <w:szCs w:val="28"/>
          <w:u w:val="single"/>
        </w:rPr>
        <w:t>before</w:t>
      </w:r>
      <w:r w:rsidRPr="00821285">
        <w:rPr>
          <w:rFonts w:ascii="Times New Roman" w:hAnsi="Times New Roman" w:cs="Times New Roman"/>
          <w:sz w:val="28"/>
          <w:szCs w:val="28"/>
        </w:rPr>
        <w:t xml:space="preserve"> the taxpayer’s RBD, then the beneficiary must withdraw all of the retirement account within 5 years of the taxpayer’s death.  </w:t>
      </w:r>
    </w:p>
    <w:p w:rsidR="00840361" w:rsidRPr="00821285" w:rsidRDefault="00840361" w:rsidP="004F3984">
      <w:pPr>
        <w:pStyle w:val="ListParagraph"/>
        <w:widowControl/>
        <w:numPr>
          <w:ilvl w:val="1"/>
          <w:numId w:val="19"/>
        </w:numPr>
        <w:tabs>
          <w:tab w:val="clear" w:pos="4590"/>
          <w:tab w:val="num" w:pos="4320"/>
        </w:tabs>
        <w:spacing w:after="0" w:line="480" w:lineRule="auto"/>
        <w:ind w:left="0" w:firstLine="3600"/>
        <w:jc w:val="both"/>
        <w:rPr>
          <w:rFonts w:ascii="Times New Roman" w:hAnsi="Times New Roman" w:cs="Times New Roman"/>
          <w:sz w:val="28"/>
          <w:szCs w:val="28"/>
        </w:rPr>
      </w:pPr>
      <w:r w:rsidRPr="00821285">
        <w:rPr>
          <w:rFonts w:ascii="Times New Roman" w:hAnsi="Times New Roman" w:cs="Times New Roman"/>
          <w:sz w:val="28"/>
          <w:szCs w:val="28"/>
        </w:rPr>
        <w:t xml:space="preserve">If the taxpayer died </w:t>
      </w:r>
      <w:r w:rsidRPr="00821285">
        <w:rPr>
          <w:rFonts w:ascii="Times New Roman" w:hAnsi="Times New Roman" w:cs="Times New Roman"/>
          <w:sz w:val="28"/>
          <w:szCs w:val="28"/>
          <w:u w:val="single"/>
        </w:rPr>
        <w:t>after</w:t>
      </w:r>
      <w:r w:rsidRPr="00821285">
        <w:rPr>
          <w:rFonts w:ascii="Times New Roman" w:hAnsi="Times New Roman" w:cs="Times New Roman"/>
          <w:sz w:val="28"/>
          <w:szCs w:val="28"/>
        </w:rPr>
        <w:t xml:space="preserve"> the taxpayer’s RBD, then the beneficiary’s RMD is based on </w:t>
      </w:r>
      <w:r>
        <w:rPr>
          <w:rFonts w:ascii="Times New Roman" w:hAnsi="Times New Roman" w:cs="Times New Roman"/>
          <w:sz w:val="28"/>
          <w:szCs w:val="28"/>
        </w:rPr>
        <w:t>the Single Life T</w:t>
      </w:r>
      <w:r w:rsidRPr="00821285">
        <w:rPr>
          <w:rFonts w:ascii="Times New Roman" w:hAnsi="Times New Roman" w:cs="Times New Roman"/>
          <w:sz w:val="28"/>
          <w:szCs w:val="28"/>
        </w:rPr>
        <w:t>able that takes into account the deceased taxpayer’s life expectancy</w:t>
      </w:r>
      <w:r>
        <w:rPr>
          <w:rFonts w:ascii="Times New Roman" w:hAnsi="Times New Roman" w:cs="Times New Roman"/>
          <w:sz w:val="28"/>
          <w:szCs w:val="28"/>
        </w:rPr>
        <w:t xml:space="preserve"> (immediately before death)</w:t>
      </w:r>
      <w:r w:rsidRPr="00821285">
        <w:rPr>
          <w:rFonts w:ascii="Times New Roman" w:hAnsi="Times New Roman" w:cs="Times New Roman"/>
          <w:sz w:val="28"/>
          <w:szCs w:val="28"/>
        </w:rPr>
        <w:t xml:space="preserve">. </w:t>
      </w:r>
    </w:p>
    <w:p w:rsidR="00840361" w:rsidRPr="00821285" w:rsidRDefault="00840361" w:rsidP="004F3984">
      <w:pPr>
        <w:pStyle w:val="Work4"/>
        <w:spacing w:after="0" w:line="480" w:lineRule="auto"/>
        <w:ind w:left="0" w:firstLine="2880"/>
        <w:jc w:val="both"/>
        <w:rPr>
          <w:rFonts w:cs="Times New Roman"/>
          <w:sz w:val="28"/>
          <w:szCs w:val="28"/>
        </w:rPr>
      </w:pPr>
      <w:r w:rsidRPr="00821285">
        <w:rPr>
          <w:rFonts w:cs="Times New Roman"/>
          <w:sz w:val="28"/>
          <w:szCs w:val="28"/>
        </w:rPr>
        <w:t>The beneficiary may withdraw more than the RMD in a given year, but the beneficiary must withdraw at least the RMD each year to avoid IRS imposition of a penalty.  When a beneficiary takes his RMD based on his life expectancy, it is often referred to as a “</w:t>
      </w:r>
      <w:r w:rsidRPr="00821285">
        <w:rPr>
          <w:rFonts w:cs="Times New Roman"/>
          <w:sz w:val="28"/>
          <w:szCs w:val="28"/>
          <w:u w:val="single"/>
        </w:rPr>
        <w:t>stretch</w:t>
      </w:r>
      <w:r w:rsidRPr="00821285">
        <w:rPr>
          <w:rFonts w:cs="Times New Roman"/>
          <w:sz w:val="28"/>
          <w:szCs w:val="28"/>
        </w:rPr>
        <w:t xml:space="preserve">” of the IRA.  </w:t>
      </w:r>
    </w:p>
    <w:p w:rsidR="00840361" w:rsidRPr="00821285" w:rsidRDefault="00840361" w:rsidP="004F3984">
      <w:pPr>
        <w:pStyle w:val="Work7"/>
        <w:spacing w:after="0" w:line="480" w:lineRule="auto"/>
        <w:ind w:left="0" w:firstLine="3600"/>
        <w:jc w:val="both"/>
        <w:rPr>
          <w:rFonts w:cs="Times New Roman"/>
          <w:sz w:val="28"/>
          <w:szCs w:val="28"/>
        </w:rPr>
      </w:pPr>
      <w:r w:rsidRPr="00821285">
        <w:rPr>
          <w:rFonts w:cs="Times New Roman"/>
          <w:sz w:val="28"/>
          <w:szCs w:val="28"/>
        </w:rPr>
        <w:t xml:space="preserve">Although life expectancy payouts in IRAs are common, not all IRAs offer this option.  </w:t>
      </w:r>
    </w:p>
    <w:p w:rsidR="00840361" w:rsidRPr="00821285" w:rsidRDefault="00840361" w:rsidP="004F3984">
      <w:pPr>
        <w:pStyle w:val="Work7"/>
        <w:spacing w:after="0" w:line="480" w:lineRule="auto"/>
        <w:ind w:left="0" w:firstLine="3600"/>
        <w:jc w:val="both"/>
        <w:rPr>
          <w:rFonts w:cs="Times New Roman"/>
          <w:sz w:val="28"/>
          <w:szCs w:val="28"/>
        </w:rPr>
      </w:pPr>
      <w:r>
        <w:rPr>
          <w:rFonts w:cs="Times New Roman"/>
          <w:sz w:val="28"/>
          <w:szCs w:val="28"/>
          <w:u w:val="single"/>
        </w:rPr>
        <w:lastRenderedPageBreak/>
        <w:t>Many</w:t>
      </w:r>
      <w:r w:rsidRPr="00821285">
        <w:rPr>
          <w:rFonts w:cs="Times New Roman"/>
          <w:sz w:val="28"/>
          <w:szCs w:val="28"/>
        </w:rPr>
        <w:t xml:space="preserve"> qualified plans do </w:t>
      </w:r>
      <w:r w:rsidRPr="00821285">
        <w:rPr>
          <w:rFonts w:cs="Times New Roman"/>
          <w:sz w:val="28"/>
          <w:szCs w:val="28"/>
          <w:u w:val="single"/>
        </w:rPr>
        <w:t>not</w:t>
      </w:r>
      <w:r w:rsidRPr="00821285">
        <w:rPr>
          <w:rFonts w:cs="Times New Roman"/>
          <w:sz w:val="28"/>
          <w:szCs w:val="28"/>
        </w:rPr>
        <w:t xml:space="preserve"> allow a life expectancy payout option, and they typically require a lump sum distribution upon death.  </w:t>
      </w:r>
    </w:p>
    <w:p w:rsidR="00840361" w:rsidRPr="00821285" w:rsidRDefault="00840361" w:rsidP="004F3984">
      <w:pPr>
        <w:pStyle w:val="Work7"/>
        <w:spacing w:after="0" w:line="480" w:lineRule="auto"/>
        <w:ind w:left="0" w:firstLine="3600"/>
        <w:jc w:val="both"/>
        <w:rPr>
          <w:rFonts w:cs="Times New Roman"/>
          <w:sz w:val="28"/>
          <w:szCs w:val="28"/>
        </w:rPr>
      </w:pPr>
      <w:r w:rsidRPr="00821285">
        <w:rPr>
          <w:rFonts w:cs="Times New Roman"/>
          <w:sz w:val="28"/>
          <w:szCs w:val="28"/>
        </w:rPr>
        <w:t>However, the Pension Protection Act of 2006 adde</w:t>
      </w:r>
      <w:r>
        <w:rPr>
          <w:rFonts w:cs="Times New Roman"/>
          <w:sz w:val="28"/>
          <w:szCs w:val="28"/>
        </w:rPr>
        <w:t>d Code § 402(c)(11), which</w:t>
      </w:r>
      <w:r w:rsidRPr="00821285">
        <w:rPr>
          <w:rFonts w:cs="Times New Roman"/>
          <w:sz w:val="28"/>
          <w:szCs w:val="28"/>
        </w:rPr>
        <w:t xml:space="preserve"> now allows a non-spouse Designated Beneficiary to rollover a qualified plan account into an IRA by a trustee to trustee transfer. </w:t>
      </w:r>
    </w:p>
    <w:p w:rsidR="00840361" w:rsidRPr="00821285" w:rsidRDefault="00840361" w:rsidP="004F3984">
      <w:pPr>
        <w:pStyle w:val="Work7"/>
        <w:spacing w:after="0" w:line="480" w:lineRule="auto"/>
        <w:ind w:left="0" w:firstLine="3600"/>
        <w:jc w:val="both"/>
        <w:rPr>
          <w:rFonts w:cs="Times New Roman"/>
          <w:sz w:val="28"/>
          <w:szCs w:val="28"/>
        </w:rPr>
      </w:pPr>
      <w:r w:rsidRPr="00821285">
        <w:rPr>
          <w:rFonts w:cs="Times New Roman"/>
          <w:sz w:val="28"/>
          <w:szCs w:val="28"/>
        </w:rPr>
        <w:t>It is important to ensure</w:t>
      </w:r>
      <w:r>
        <w:rPr>
          <w:rFonts w:cs="Times New Roman"/>
          <w:sz w:val="28"/>
          <w:szCs w:val="28"/>
        </w:rPr>
        <w:t xml:space="preserve"> that</w:t>
      </w:r>
      <w:r w:rsidRPr="00821285">
        <w:rPr>
          <w:rFonts w:cs="Times New Roman"/>
          <w:sz w:val="28"/>
          <w:szCs w:val="28"/>
        </w:rPr>
        <w:t xml:space="preserve"> the beneficiary of a qualified plan is a Designated Beneficiary, so that such a non-spousal rollover will be a planning option upon the participant's death.</w:t>
      </w:r>
    </w:p>
    <w:p w:rsidR="00840361" w:rsidRPr="000E0989" w:rsidRDefault="00840361" w:rsidP="004F3984">
      <w:pPr>
        <w:pStyle w:val="Work7"/>
        <w:spacing w:line="480" w:lineRule="auto"/>
        <w:ind w:left="0" w:firstLine="3600"/>
        <w:jc w:val="both"/>
        <w:rPr>
          <w:rFonts w:cs="Times New Roman"/>
          <w:sz w:val="28"/>
          <w:szCs w:val="28"/>
        </w:rPr>
      </w:pPr>
      <w:r w:rsidRPr="00821285">
        <w:rPr>
          <w:rFonts w:cs="Times New Roman"/>
          <w:sz w:val="28"/>
          <w:szCs w:val="28"/>
        </w:rPr>
        <w:t xml:space="preserve">This rollover is </w:t>
      </w:r>
      <w:r w:rsidRPr="00750EB5">
        <w:rPr>
          <w:rFonts w:cs="Times New Roman"/>
          <w:sz w:val="28"/>
          <w:szCs w:val="28"/>
          <w:u w:val="single"/>
        </w:rPr>
        <w:t>not</w:t>
      </w:r>
      <w:r w:rsidRPr="00821285">
        <w:rPr>
          <w:rFonts w:cs="Times New Roman"/>
          <w:sz w:val="28"/>
          <w:szCs w:val="28"/>
        </w:rPr>
        <w:t xml:space="preserve"> as favorable as the spousal rollover, as the non-spouse rollover is treated as an inherited IRA, not as a contributory IRA. The main benefit of the non-spouse rollover is the ability to transfer the account to an IRA that allows a life </w:t>
      </w:r>
      <w:r w:rsidRPr="000E0989">
        <w:rPr>
          <w:rFonts w:cs="Times New Roman"/>
          <w:sz w:val="28"/>
          <w:szCs w:val="28"/>
        </w:rPr>
        <w:t xml:space="preserve">expectancy payout option.  </w:t>
      </w:r>
    </w:p>
    <w:p w:rsidR="00840361" w:rsidRPr="000E0989" w:rsidRDefault="00840361" w:rsidP="004F3984">
      <w:pPr>
        <w:pStyle w:val="Work4"/>
        <w:spacing w:line="480" w:lineRule="auto"/>
        <w:ind w:left="0" w:firstLine="2880"/>
        <w:jc w:val="both"/>
        <w:rPr>
          <w:sz w:val="28"/>
          <w:szCs w:val="28"/>
        </w:rPr>
      </w:pPr>
      <w:r w:rsidRPr="000E0989">
        <w:rPr>
          <w:sz w:val="28"/>
          <w:szCs w:val="28"/>
        </w:rPr>
        <w:t xml:space="preserve">Following a recent court decision, a designated beneficiary of a traditional IRA may be responsible for including the entire distribution of </w:t>
      </w:r>
      <w:r>
        <w:rPr>
          <w:sz w:val="28"/>
          <w:szCs w:val="28"/>
        </w:rPr>
        <w:t>an</w:t>
      </w:r>
      <w:r w:rsidRPr="000E0989">
        <w:rPr>
          <w:sz w:val="28"/>
          <w:szCs w:val="28"/>
        </w:rPr>
        <w:t xml:space="preserve"> IRA in his or her gross income, even if the beneficiary distributed a portion of the IRA among others.</w:t>
      </w:r>
    </w:p>
    <w:p w:rsidR="00840361" w:rsidRPr="000E0989" w:rsidRDefault="00840361" w:rsidP="004F3984">
      <w:pPr>
        <w:pStyle w:val="Work5"/>
        <w:numPr>
          <w:ilvl w:val="4"/>
          <w:numId w:val="43"/>
        </w:numPr>
        <w:spacing w:line="480" w:lineRule="auto"/>
        <w:ind w:left="0" w:firstLine="3600"/>
        <w:jc w:val="both"/>
        <w:rPr>
          <w:rFonts w:cs="Times New Roman"/>
          <w:sz w:val="28"/>
          <w:szCs w:val="28"/>
        </w:rPr>
      </w:pPr>
      <w:r w:rsidRPr="000E0989">
        <w:rPr>
          <w:rFonts w:cs="Times New Roman"/>
          <w:sz w:val="28"/>
          <w:szCs w:val="28"/>
        </w:rPr>
        <w:t xml:space="preserve">In </w:t>
      </w:r>
      <w:r w:rsidRPr="000E0989">
        <w:rPr>
          <w:sz w:val="28"/>
          <w:szCs w:val="28"/>
          <w:u w:val="single"/>
        </w:rPr>
        <w:t>Morris v. C</w:t>
      </w:r>
      <w:r>
        <w:rPr>
          <w:sz w:val="28"/>
          <w:szCs w:val="28"/>
          <w:u w:val="single"/>
        </w:rPr>
        <w:t>.I.R.</w:t>
      </w:r>
      <w:r w:rsidRPr="000E0989">
        <w:rPr>
          <w:sz w:val="28"/>
          <w:szCs w:val="28"/>
        </w:rPr>
        <w:t xml:space="preserve">, </w:t>
      </w:r>
      <w:r>
        <w:rPr>
          <w:sz w:val="28"/>
          <w:szCs w:val="28"/>
        </w:rPr>
        <w:t xml:space="preserve">T.C. Memo. 2015-82 (2015), </w:t>
      </w:r>
      <w:r w:rsidRPr="000E0989">
        <w:rPr>
          <w:sz w:val="28"/>
          <w:szCs w:val="28"/>
        </w:rPr>
        <w:t xml:space="preserve">a beneficiary of an IRA who had received </w:t>
      </w:r>
      <w:r>
        <w:rPr>
          <w:sz w:val="28"/>
          <w:szCs w:val="28"/>
        </w:rPr>
        <w:t>an</w:t>
      </w:r>
      <w:r w:rsidRPr="000E0989">
        <w:rPr>
          <w:sz w:val="28"/>
          <w:szCs w:val="28"/>
        </w:rPr>
        <w:t xml:space="preserve"> IRA in a lump sum after his </w:t>
      </w:r>
      <w:r w:rsidRPr="000E0989">
        <w:rPr>
          <w:sz w:val="28"/>
          <w:szCs w:val="28"/>
        </w:rPr>
        <w:lastRenderedPageBreak/>
        <w:t>father’s death followed his father’s wishes by sharing the IRA with his siblings, but did not include the lump sum or the distributions on his income tax return.  Finding that the taxable status of the distributions themselves is determined by the Code, and not by the conduct of the beneficiary, the Court found that the beneficiary bore the responsibility of reporting the IRA distribution on his tax return and not telling his siblings to report it as well.</w:t>
      </w:r>
    </w:p>
    <w:p w:rsidR="00840361" w:rsidRPr="000E0989" w:rsidRDefault="00840361" w:rsidP="004F3984">
      <w:pPr>
        <w:pStyle w:val="Work5"/>
        <w:spacing w:line="480" w:lineRule="auto"/>
        <w:ind w:left="0" w:firstLine="3600"/>
        <w:jc w:val="both"/>
        <w:rPr>
          <w:sz w:val="28"/>
          <w:szCs w:val="28"/>
        </w:rPr>
      </w:pPr>
      <w:r w:rsidRPr="000E0989">
        <w:rPr>
          <w:sz w:val="28"/>
          <w:szCs w:val="28"/>
        </w:rPr>
        <w:t xml:space="preserve">The court in </w:t>
      </w:r>
      <w:r w:rsidRPr="000E0989">
        <w:rPr>
          <w:sz w:val="28"/>
          <w:szCs w:val="28"/>
          <w:u w:val="single"/>
        </w:rPr>
        <w:t>Morris</w:t>
      </w:r>
      <w:r w:rsidRPr="000E0989">
        <w:rPr>
          <w:sz w:val="28"/>
          <w:szCs w:val="28"/>
        </w:rPr>
        <w:t xml:space="preserve"> noted that the beneficiary could have done a variety of things to avoid having to pay tax on the entire distribution</w:t>
      </w:r>
      <w:r>
        <w:rPr>
          <w:sz w:val="28"/>
          <w:szCs w:val="28"/>
        </w:rPr>
        <w:t>, including the following</w:t>
      </w:r>
      <w:r w:rsidRPr="000E0989">
        <w:rPr>
          <w:sz w:val="28"/>
          <w:szCs w:val="28"/>
        </w:rPr>
        <w:t>:</w:t>
      </w:r>
    </w:p>
    <w:p w:rsidR="00840361" w:rsidRPr="000E0989" w:rsidRDefault="00840361" w:rsidP="00692EE8">
      <w:pPr>
        <w:pStyle w:val="Work6"/>
        <w:spacing w:line="480" w:lineRule="auto"/>
        <w:ind w:left="0" w:firstLine="4320"/>
        <w:jc w:val="both"/>
        <w:rPr>
          <w:sz w:val="28"/>
          <w:szCs w:val="28"/>
        </w:rPr>
      </w:pPr>
      <w:r w:rsidRPr="000E0989">
        <w:rPr>
          <w:sz w:val="28"/>
          <w:szCs w:val="28"/>
        </w:rPr>
        <w:t>The beneficiary could have required each sibling to report one-third of the IRA distribution rather than bearing the tax implications on his own.</w:t>
      </w:r>
    </w:p>
    <w:p w:rsidR="00840361" w:rsidRPr="000E0989" w:rsidRDefault="00840361" w:rsidP="00692EE8">
      <w:pPr>
        <w:pStyle w:val="Work6"/>
        <w:spacing w:line="480" w:lineRule="auto"/>
        <w:ind w:left="0" w:firstLine="4320"/>
        <w:jc w:val="both"/>
        <w:rPr>
          <w:sz w:val="28"/>
          <w:szCs w:val="28"/>
        </w:rPr>
      </w:pPr>
      <w:r w:rsidRPr="000E0989">
        <w:rPr>
          <w:sz w:val="28"/>
          <w:szCs w:val="28"/>
        </w:rPr>
        <w:t>The beneficiary could have issued a Form 1099-R to each sibling and included an explanation of the issue with his tax return.</w:t>
      </w:r>
    </w:p>
    <w:p w:rsidR="00840361" w:rsidRPr="000E0989" w:rsidRDefault="00840361" w:rsidP="00692EE8">
      <w:pPr>
        <w:pStyle w:val="Work6"/>
        <w:spacing w:line="480" w:lineRule="auto"/>
        <w:ind w:left="0" w:firstLine="4320"/>
        <w:jc w:val="both"/>
        <w:rPr>
          <w:sz w:val="28"/>
          <w:szCs w:val="28"/>
        </w:rPr>
      </w:pPr>
      <w:r w:rsidRPr="000E0989">
        <w:rPr>
          <w:sz w:val="28"/>
          <w:szCs w:val="28"/>
        </w:rPr>
        <w:t>The beneficiary could have persuaded the life insurance company to issue the IRA in 3 equal portions.</w:t>
      </w:r>
    </w:p>
    <w:p w:rsidR="00840361" w:rsidRPr="00D47524" w:rsidRDefault="00840361" w:rsidP="00692EE8">
      <w:pPr>
        <w:pStyle w:val="Work6"/>
        <w:spacing w:line="480" w:lineRule="auto"/>
        <w:ind w:left="0" w:firstLine="4320"/>
        <w:jc w:val="both"/>
        <w:rPr>
          <w:sz w:val="28"/>
          <w:szCs w:val="28"/>
        </w:rPr>
      </w:pPr>
      <w:r w:rsidRPr="000E0989">
        <w:rPr>
          <w:sz w:val="28"/>
          <w:szCs w:val="28"/>
        </w:rPr>
        <w:lastRenderedPageBreak/>
        <w:t>Alternatively, a family settlement agreement could have been created, acknowledging that although he was a sole beneficiary, he was merely an agent for all o</w:t>
      </w:r>
      <w:r w:rsidRPr="00D47524">
        <w:rPr>
          <w:sz w:val="28"/>
          <w:szCs w:val="28"/>
        </w:rPr>
        <w:t>f the children. Under this scenario, the beneficiary could have withheld and paid income tax for all the siblings.</w:t>
      </w:r>
    </w:p>
    <w:p w:rsidR="00840361" w:rsidRPr="00D47524" w:rsidRDefault="00840361" w:rsidP="00692EE8">
      <w:pPr>
        <w:pStyle w:val="Work3"/>
        <w:spacing w:line="480" w:lineRule="auto"/>
        <w:ind w:left="0" w:firstLine="2160"/>
        <w:jc w:val="both"/>
        <w:rPr>
          <w:sz w:val="28"/>
          <w:szCs w:val="28"/>
        </w:rPr>
      </w:pPr>
      <w:r w:rsidRPr="00D47524">
        <w:rPr>
          <w:sz w:val="28"/>
          <w:szCs w:val="28"/>
        </w:rPr>
        <w:t>Sixty (</w:t>
      </w:r>
      <w:r w:rsidRPr="00D47524">
        <w:rPr>
          <w:w w:val="106"/>
          <w:sz w:val="28"/>
          <w:szCs w:val="28"/>
        </w:rPr>
        <w:t>60) day rollover for inherited retirement benefits</w:t>
      </w:r>
    </w:p>
    <w:p w:rsidR="00840361" w:rsidRPr="00D47524" w:rsidRDefault="00840361" w:rsidP="00E35818">
      <w:pPr>
        <w:pStyle w:val="Work4"/>
        <w:spacing w:line="480" w:lineRule="auto"/>
        <w:ind w:left="0" w:firstLine="2880"/>
        <w:jc w:val="both"/>
        <w:rPr>
          <w:w w:val="106"/>
          <w:sz w:val="28"/>
          <w:szCs w:val="28"/>
        </w:rPr>
      </w:pPr>
      <w:r w:rsidRPr="00D47524">
        <w:rPr>
          <w:w w:val="106"/>
          <w:sz w:val="28"/>
          <w:szCs w:val="28"/>
        </w:rPr>
        <w:t>A participant, IRA owner or spousal beneficiary may take distributions of qualified plan or IRA assets and roll them over into another qualified plan or IRA within sixty (60) days of such distribution.  However, any other non-spousal beneficiary cannot do such a rollover, but may do a direct trustee-to-trustee transfer.</w:t>
      </w:r>
    </w:p>
    <w:p w:rsidR="00840361" w:rsidRPr="00D47524" w:rsidRDefault="00840361" w:rsidP="00E35818">
      <w:pPr>
        <w:pStyle w:val="Work4"/>
        <w:spacing w:line="480" w:lineRule="auto"/>
        <w:ind w:left="0" w:firstLine="2880"/>
        <w:jc w:val="both"/>
        <w:rPr>
          <w:w w:val="106"/>
          <w:sz w:val="28"/>
          <w:szCs w:val="28"/>
        </w:rPr>
      </w:pPr>
      <w:r w:rsidRPr="00D47524">
        <w:rPr>
          <w:w w:val="106"/>
          <w:sz w:val="28"/>
          <w:szCs w:val="28"/>
        </w:rPr>
        <w:t xml:space="preserve">Recent Private Letter Rulings have addressed specific scenarios that allow for a waiver of the 60-day rollover requirement: </w:t>
      </w:r>
    </w:p>
    <w:p w:rsidR="00840361" w:rsidRPr="00D47524" w:rsidRDefault="00840361" w:rsidP="00E35818">
      <w:pPr>
        <w:pStyle w:val="Work5"/>
        <w:spacing w:line="480" w:lineRule="auto"/>
        <w:ind w:left="0" w:firstLine="3600"/>
        <w:jc w:val="both"/>
        <w:rPr>
          <w:w w:val="106"/>
          <w:sz w:val="28"/>
          <w:szCs w:val="28"/>
        </w:rPr>
      </w:pPr>
      <w:r w:rsidRPr="00D47524">
        <w:rPr>
          <w:w w:val="106"/>
          <w:sz w:val="28"/>
          <w:szCs w:val="28"/>
        </w:rPr>
        <w:t xml:space="preserve">In PLR 201529016, the IRS, pursuant to Code </w:t>
      </w:r>
      <w:r w:rsidRPr="00D47524">
        <w:rPr>
          <w:rFonts w:cs="Times New Roman"/>
          <w:sz w:val="28"/>
          <w:szCs w:val="28"/>
        </w:rPr>
        <w:t>§</w:t>
      </w:r>
      <w:r w:rsidRPr="00D47524">
        <w:rPr>
          <w:w w:val="106"/>
          <w:sz w:val="28"/>
          <w:szCs w:val="28"/>
        </w:rPr>
        <w:t xml:space="preserve">402(c)(3)(B), waived the 60-day rollover requirement where the taxpayer’s failure to timely rollover funds was due to her medical and emotional condition following her spouse’s death that impaired her ability to manage her financial affairs. </w:t>
      </w:r>
    </w:p>
    <w:p w:rsidR="00840361" w:rsidRPr="00D47524" w:rsidRDefault="00840361" w:rsidP="00E35818">
      <w:pPr>
        <w:pStyle w:val="Work5"/>
        <w:spacing w:line="480" w:lineRule="auto"/>
        <w:ind w:left="0" w:firstLine="3600"/>
        <w:jc w:val="both"/>
        <w:rPr>
          <w:w w:val="106"/>
          <w:sz w:val="28"/>
          <w:szCs w:val="28"/>
        </w:rPr>
      </w:pPr>
      <w:r w:rsidRPr="00D47524">
        <w:rPr>
          <w:w w:val="106"/>
          <w:sz w:val="28"/>
          <w:szCs w:val="28"/>
        </w:rPr>
        <w:lastRenderedPageBreak/>
        <w:t xml:space="preserve">In PLR 201529017, pursuant to Code </w:t>
      </w:r>
      <w:r w:rsidRPr="00D47524">
        <w:rPr>
          <w:rFonts w:cs="Times New Roman"/>
          <w:sz w:val="28"/>
          <w:szCs w:val="28"/>
        </w:rPr>
        <w:t>§</w:t>
      </w:r>
      <w:r w:rsidRPr="00D47524">
        <w:rPr>
          <w:w w:val="106"/>
          <w:sz w:val="28"/>
          <w:szCs w:val="28"/>
        </w:rPr>
        <w:t>408(d)(3)(I), the IRS waived the 60-day requirement where the taxpayer’s failure to timely rollover funds was due to the financial institution’s failure to follow the taxpayer’s instructions to keep those funds in his IRA.</w:t>
      </w:r>
    </w:p>
    <w:p w:rsidR="00840361" w:rsidRPr="001F6EBA" w:rsidRDefault="00840361" w:rsidP="00E35818">
      <w:pPr>
        <w:pStyle w:val="Work5"/>
        <w:spacing w:line="480" w:lineRule="auto"/>
        <w:ind w:left="0" w:firstLine="3600"/>
        <w:jc w:val="both"/>
        <w:rPr>
          <w:sz w:val="28"/>
          <w:szCs w:val="28"/>
        </w:rPr>
      </w:pPr>
      <w:r w:rsidRPr="00D47524">
        <w:rPr>
          <w:w w:val="106"/>
          <w:sz w:val="28"/>
          <w:szCs w:val="28"/>
        </w:rPr>
        <w:t xml:space="preserve">In PLR 20152901, again, pursuant to Code </w:t>
      </w:r>
      <w:r w:rsidRPr="00D47524">
        <w:rPr>
          <w:rFonts w:cs="Times New Roman"/>
          <w:sz w:val="28"/>
          <w:szCs w:val="28"/>
        </w:rPr>
        <w:t>§</w:t>
      </w:r>
      <w:r>
        <w:rPr>
          <w:rFonts w:cs="Times New Roman"/>
          <w:sz w:val="28"/>
          <w:szCs w:val="28"/>
        </w:rPr>
        <w:t xml:space="preserve"> </w:t>
      </w:r>
      <w:r w:rsidRPr="00D47524">
        <w:rPr>
          <w:w w:val="106"/>
          <w:sz w:val="28"/>
          <w:szCs w:val="28"/>
        </w:rPr>
        <w:t>408(d)(3)(I), the IRS waived the 60-day rollover requirement where the taxpayer’s failure to timely rollover funds was due to the bank making unauthorized distributions from his retirement accounts.</w:t>
      </w:r>
    </w:p>
    <w:p w:rsidR="001F6EBA" w:rsidRPr="00C16F58" w:rsidRDefault="001F6EBA" w:rsidP="005F555D">
      <w:pPr>
        <w:pStyle w:val="Work4"/>
        <w:spacing w:line="480" w:lineRule="auto"/>
        <w:ind w:left="0" w:firstLine="2880"/>
        <w:jc w:val="both"/>
        <w:rPr>
          <w:sz w:val="28"/>
          <w:szCs w:val="28"/>
        </w:rPr>
      </w:pPr>
      <w:r w:rsidRPr="00C16F58">
        <w:rPr>
          <w:sz w:val="28"/>
          <w:szCs w:val="28"/>
        </w:rPr>
        <w:t xml:space="preserve">Rev. Proc. 2016-47, issued on August 24, 2016 establishes a “self-certification” procedure enabling the taxpayer to complete a rollover without the expense and hassle of a </w:t>
      </w:r>
      <w:r w:rsidR="00220D1C" w:rsidRPr="00C16F58">
        <w:rPr>
          <w:sz w:val="28"/>
          <w:szCs w:val="28"/>
        </w:rPr>
        <w:t>private letter ruling request.</w:t>
      </w:r>
    </w:p>
    <w:p w:rsidR="00220D1C" w:rsidRPr="00C16F58" w:rsidRDefault="00220D1C" w:rsidP="005F555D">
      <w:pPr>
        <w:pStyle w:val="Work5"/>
        <w:spacing w:line="480" w:lineRule="auto"/>
        <w:ind w:left="90" w:firstLine="3510"/>
        <w:jc w:val="both"/>
        <w:rPr>
          <w:sz w:val="28"/>
          <w:szCs w:val="28"/>
        </w:rPr>
      </w:pPr>
      <w:r w:rsidRPr="00C16F58">
        <w:rPr>
          <w:sz w:val="28"/>
          <w:szCs w:val="28"/>
        </w:rPr>
        <w:t xml:space="preserve">Prior to this </w:t>
      </w:r>
      <w:r w:rsidR="005A39D6">
        <w:rPr>
          <w:sz w:val="28"/>
          <w:szCs w:val="28"/>
        </w:rPr>
        <w:t>R</w:t>
      </w:r>
      <w:r w:rsidRPr="00C16F58">
        <w:rPr>
          <w:sz w:val="28"/>
          <w:szCs w:val="28"/>
        </w:rPr>
        <w:t xml:space="preserve">evenue </w:t>
      </w:r>
      <w:r w:rsidR="005A39D6">
        <w:rPr>
          <w:sz w:val="28"/>
          <w:szCs w:val="28"/>
        </w:rPr>
        <w:t>P</w:t>
      </w:r>
      <w:r w:rsidRPr="00C16F58">
        <w:rPr>
          <w:sz w:val="28"/>
          <w:szCs w:val="28"/>
        </w:rPr>
        <w:t xml:space="preserve">rocedure, you could obtain a waiver of the 60-day rollover deadline </w:t>
      </w:r>
      <w:r w:rsidR="005A39D6">
        <w:rPr>
          <w:sz w:val="28"/>
          <w:szCs w:val="28"/>
        </w:rPr>
        <w:t xml:space="preserve">only </w:t>
      </w:r>
      <w:r w:rsidRPr="00C16F58">
        <w:rPr>
          <w:sz w:val="28"/>
          <w:szCs w:val="28"/>
        </w:rPr>
        <w:t>by making application to the IRS, paying a $10,000 filing fee, and waiting at least a year to get an answer.</w:t>
      </w:r>
    </w:p>
    <w:p w:rsidR="00220D1C" w:rsidRDefault="00220D1C" w:rsidP="005F555D">
      <w:pPr>
        <w:pStyle w:val="Work5"/>
        <w:spacing w:line="480" w:lineRule="auto"/>
        <w:ind w:left="90" w:firstLine="3510"/>
        <w:jc w:val="both"/>
        <w:rPr>
          <w:sz w:val="28"/>
          <w:szCs w:val="28"/>
        </w:rPr>
      </w:pPr>
      <w:r w:rsidRPr="00C16F58">
        <w:rPr>
          <w:sz w:val="28"/>
          <w:szCs w:val="28"/>
        </w:rPr>
        <w:t xml:space="preserve">To qualify for this new self-certification approach, </w:t>
      </w:r>
      <w:r w:rsidR="005F555D">
        <w:rPr>
          <w:sz w:val="28"/>
          <w:szCs w:val="28"/>
        </w:rPr>
        <w:t>you must satisfy three requirements.</w:t>
      </w:r>
    </w:p>
    <w:p w:rsidR="005F555D" w:rsidRPr="006665EE" w:rsidRDefault="001E0CB2" w:rsidP="006665EE">
      <w:pPr>
        <w:pStyle w:val="Work8"/>
        <w:numPr>
          <w:ilvl w:val="2"/>
          <w:numId w:val="19"/>
        </w:numPr>
        <w:spacing w:line="480" w:lineRule="auto"/>
        <w:ind w:left="0" w:firstLine="4320"/>
        <w:rPr>
          <w:sz w:val="28"/>
          <w:szCs w:val="28"/>
        </w:rPr>
      </w:pPr>
      <w:r w:rsidRPr="006665EE">
        <w:rPr>
          <w:sz w:val="28"/>
          <w:szCs w:val="28"/>
        </w:rPr>
        <w:t>You must not have been previously denied a waiver by the IRS for this particular distribution.</w:t>
      </w:r>
    </w:p>
    <w:p w:rsidR="001E0CB2" w:rsidRPr="006665EE" w:rsidRDefault="001E0CB2" w:rsidP="006665EE">
      <w:pPr>
        <w:pStyle w:val="Work8"/>
        <w:numPr>
          <w:ilvl w:val="2"/>
          <w:numId w:val="19"/>
        </w:numPr>
        <w:spacing w:line="480" w:lineRule="auto"/>
        <w:ind w:left="0" w:firstLine="4320"/>
        <w:rPr>
          <w:sz w:val="28"/>
          <w:szCs w:val="28"/>
        </w:rPr>
      </w:pPr>
      <w:r w:rsidRPr="006665EE">
        <w:rPr>
          <w:sz w:val="28"/>
          <w:szCs w:val="28"/>
        </w:rPr>
        <w:lastRenderedPageBreak/>
        <w:t>You must have been unable to complete the rollover due to one or more of the eleven reasons listed below; and</w:t>
      </w:r>
    </w:p>
    <w:p w:rsidR="001E0CB2" w:rsidRPr="006665EE" w:rsidRDefault="001E0CB2" w:rsidP="006665EE">
      <w:pPr>
        <w:pStyle w:val="Work8"/>
        <w:numPr>
          <w:ilvl w:val="2"/>
          <w:numId w:val="19"/>
        </w:numPr>
        <w:spacing w:line="480" w:lineRule="auto"/>
        <w:ind w:left="0" w:firstLine="4320"/>
        <w:rPr>
          <w:sz w:val="28"/>
          <w:szCs w:val="28"/>
        </w:rPr>
      </w:pPr>
      <w:r w:rsidRPr="006665EE">
        <w:rPr>
          <w:sz w:val="28"/>
          <w:szCs w:val="28"/>
        </w:rPr>
        <w:t xml:space="preserve">You must complete the rollover as soon as practical after you are no longer prevented from </w:t>
      </w:r>
      <w:r w:rsidR="005A39D6">
        <w:rPr>
          <w:sz w:val="28"/>
          <w:szCs w:val="28"/>
        </w:rPr>
        <w:t xml:space="preserve">doing so </w:t>
      </w:r>
      <w:r w:rsidRPr="006665EE">
        <w:rPr>
          <w:sz w:val="28"/>
          <w:szCs w:val="28"/>
        </w:rPr>
        <w:t>due to the reasons you have certified.</w:t>
      </w:r>
    </w:p>
    <w:p w:rsidR="006665EE" w:rsidRPr="006665EE" w:rsidRDefault="006665EE" w:rsidP="006665EE">
      <w:pPr>
        <w:pStyle w:val="Work8"/>
        <w:numPr>
          <w:ilvl w:val="1"/>
          <w:numId w:val="19"/>
        </w:numPr>
        <w:tabs>
          <w:tab w:val="clear" w:pos="4590"/>
        </w:tabs>
        <w:spacing w:line="480" w:lineRule="auto"/>
        <w:ind w:left="0" w:firstLine="3600"/>
        <w:rPr>
          <w:sz w:val="28"/>
          <w:szCs w:val="28"/>
        </w:rPr>
      </w:pPr>
      <w:r w:rsidRPr="006665EE">
        <w:rPr>
          <w:sz w:val="28"/>
          <w:szCs w:val="28"/>
        </w:rPr>
        <w:t xml:space="preserve">The following eleven </w:t>
      </w:r>
      <w:r w:rsidR="005A39D6">
        <w:rPr>
          <w:sz w:val="28"/>
          <w:szCs w:val="28"/>
        </w:rPr>
        <w:t xml:space="preserve">(11) </w:t>
      </w:r>
      <w:r w:rsidRPr="006665EE">
        <w:rPr>
          <w:sz w:val="28"/>
          <w:szCs w:val="28"/>
        </w:rPr>
        <w:t>reasons are “blessed” by the IRS as justifying a waiver:</w:t>
      </w:r>
    </w:p>
    <w:p w:rsidR="006665EE" w:rsidRPr="006665EE" w:rsidRDefault="006665EE" w:rsidP="006665EE">
      <w:pPr>
        <w:pStyle w:val="Work8"/>
        <w:numPr>
          <w:ilvl w:val="2"/>
          <w:numId w:val="19"/>
        </w:numPr>
        <w:spacing w:line="480" w:lineRule="auto"/>
        <w:ind w:left="0" w:firstLine="4320"/>
        <w:rPr>
          <w:sz w:val="28"/>
          <w:szCs w:val="28"/>
        </w:rPr>
      </w:pPr>
      <w:r w:rsidRPr="006665EE">
        <w:rPr>
          <w:sz w:val="28"/>
          <w:szCs w:val="28"/>
        </w:rPr>
        <w:t>An error was committed by the financial institution receiving the contribution or making the distribution to which the contribution relates.</w:t>
      </w:r>
    </w:p>
    <w:p w:rsidR="006665EE" w:rsidRDefault="00290C88" w:rsidP="006665EE">
      <w:pPr>
        <w:pStyle w:val="Work8"/>
        <w:numPr>
          <w:ilvl w:val="2"/>
          <w:numId w:val="19"/>
        </w:numPr>
        <w:spacing w:line="480" w:lineRule="auto"/>
        <w:ind w:left="0" w:firstLine="4320"/>
        <w:rPr>
          <w:sz w:val="28"/>
          <w:szCs w:val="28"/>
        </w:rPr>
      </w:pPr>
      <w:r>
        <w:rPr>
          <w:sz w:val="28"/>
          <w:szCs w:val="28"/>
        </w:rPr>
        <w:t>The distribution was made in the form of a check which was misplaced and never cashed.</w:t>
      </w:r>
    </w:p>
    <w:p w:rsidR="00290C88" w:rsidRDefault="00290C88" w:rsidP="006665EE">
      <w:pPr>
        <w:pStyle w:val="Work8"/>
        <w:numPr>
          <w:ilvl w:val="2"/>
          <w:numId w:val="19"/>
        </w:numPr>
        <w:spacing w:line="480" w:lineRule="auto"/>
        <w:ind w:left="0" w:firstLine="4320"/>
        <w:rPr>
          <w:sz w:val="28"/>
          <w:szCs w:val="28"/>
        </w:rPr>
      </w:pPr>
      <w:r>
        <w:rPr>
          <w:sz w:val="28"/>
          <w:szCs w:val="28"/>
        </w:rPr>
        <w:t>The distribution was deposited into and remained in an account that the taxpayer mistakenly thought was an eligible retirement plan.</w:t>
      </w:r>
    </w:p>
    <w:p w:rsidR="00290C88" w:rsidRDefault="00290C88" w:rsidP="006665EE">
      <w:pPr>
        <w:pStyle w:val="Work8"/>
        <w:numPr>
          <w:ilvl w:val="2"/>
          <w:numId w:val="19"/>
        </w:numPr>
        <w:spacing w:line="480" w:lineRule="auto"/>
        <w:ind w:left="0" w:firstLine="4320"/>
        <w:rPr>
          <w:sz w:val="28"/>
          <w:szCs w:val="28"/>
        </w:rPr>
      </w:pPr>
      <w:r>
        <w:rPr>
          <w:sz w:val="28"/>
          <w:szCs w:val="28"/>
        </w:rPr>
        <w:t>The taxpayer’s principal residence was severely damaged.</w:t>
      </w:r>
    </w:p>
    <w:p w:rsidR="00290C88" w:rsidRDefault="00EB78C0" w:rsidP="006665EE">
      <w:pPr>
        <w:pStyle w:val="Work8"/>
        <w:numPr>
          <w:ilvl w:val="2"/>
          <w:numId w:val="19"/>
        </w:numPr>
        <w:spacing w:line="480" w:lineRule="auto"/>
        <w:ind w:left="0" w:firstLine="4320"/>
        <w:rPr>
          <w:sz w:val="28"/>
          <w:szCs w:val="28"/>
        </w:rPr>
      </w:pPr>
      <w:r>
        <w:rPr>
          <w:sz w:val="28"/>
          <w:szCs w:val="28"/>
        </w:rPr>
        <w:lastRenderedPageBreak/>
        <w:t>A member of the taxpayer’s family died.</w:t>
      </w:r>
    </w:p>
    <w:p w:rsidR="00EB78C0" w:rsidRDefault="00EB78C0" w:rsidP="006665EE">
      <w:pPr>
        <w:pStyle w:val="Work8"/>
        <w:numPr>
          <w:ilvl w:val="2"/>
          <w:numId w:val="19"/>
        </w:numPr>
        <w:spacing w:line="480" w:lineRule="auto"/>
        <w:ind w:left="0" w:firstLine="4320"/>
        <w:rPr>
          <w:sz w:val="28"/>
          <w:szCs w:val="28"/>
        </w:rPr>
      </w:pPr>
      <w:r>
        <w:rPr>
          <w:sz w:val="28"/>
          <w:szCs w:val="28"/>
        </w:rPr>
        <w:t>The taxpayer or a member of the taxpayer’s family was seriously ill.</w:t>
      </w:r>
    </w:p>
    <w:p w:rsidR="00EB78C0" w:rsidRDefault="00EB78C0" w:rsidP="006665EE">
      <w:pPr>
        <w:pStyle w:val="Work8"/>
        <w:numPr>
          <w:ilvl w:val="2"/>
          <w:numId w:val="19"/>
        </w:numPr>
        <w:spacing w:line="480" w:lineRule="auto"/>
        <w:ind w:left="0" w:firstLine="4320"/>
        <w:rPr>
          <w:sz w:val="28"/>
          <w:szCs w:val="28"/>
        </w:rPr>
      </w:pPr>
      <w:r>
        <w:rPr>
          <w:sz w:val="28"/>
          <w:szCs w:val="28"/>
        </w:rPr>
        <w:t>The taxpayer was incarcerated.</w:t>
      </w:r>
    </w:p>
    <w:p w:rsidR="00EB78C0" w:rsidRDefault="00EB78C0" w:rsidP="006665EE">
      <w:pPr>
        <w:pStyle w:val="Work8"/>
        <w:numPr>
          <w:ilvl w:val="2"/>
          <w:numId w:val="19"/>
        </w:numPr>
        <w:spacing w:line="480" w:lineRule="auto"/>
        <w:ind w:left="0" w:firstLine="4320"/>
        <w:rPr>
          <w:sz w:val="28"/>
          <w:szCs w:val="28"/>
        </w:rPr>
      </w:pPr>
      <w:r>
        <w:rPr>
          <w:sz w:val="28"/>
          <w:szCs w:val="28"/>
        </w:rPr>
        <w:t>Restrictions were imposed by a foreign country.</w:t>
      </w:r>
    </w:p>
    <w:p w:rsidR="00EB78C0" w:rsidRDefault="00EB78C0" w:rsidP="006665EE">
      <w:pPr>
        <w:pStyle w:val="Work8"/>
        <w:numPr>
          <w:ilvl w:val="2"/>
          <w:numId w:val="19"/>
        </w:numPr>
        <w:spacing w:line="480" w:lineRule="auto"/>
        <w:ind w:left="0" w:firstLine="4320"/>
        <w:rPr>
          <w:sz w:val="28"/>
          <w:szCs w:val="28"/>
        </w:rPr>
      </w:pPr>
      <w:r>
        <w:rPr>
          <w:sz w:val="28"/>
          <w:szCs w:val="28"/>
        </w:rPr>
        <w:t>Postal error.</w:t>
      </w:r>
    </w:p>
    <w:p w:rsidR="00EB78C0" w:rsidRDefault="00EB78C0" w:rsidP="006665EE">
      <w:pPr>
        <w:pStyle w:val="Work8"/>
        <w:numPr>
          <w:ilvl w:val="2"/>
          <w:numId w:val="19"/>
        </w:numPr>
        <w:spacing w:line="480" w:lineRule="auto"/>
        <w:ind w:left="0" w:firstLine="4320"/>
        <w:rPr>
          <w:sz w:val="28"/>
          <w:szCs w:val="28"/>
        </w:rPr>
      </w:pPr>
      <w:r>
        <w:rPr>
          <w:sz w:val="28"/>
          <w:szCs w:val="28"/>
        </w:rPr>
        <w:t xml:space="preserve">The distribution was made on account of a levy under </w:t>
      </w:r>
      <w:r w:rsidR="005A39D6">
        <w:rPr>
          <w:sz w:val="28"/>
          <w:szCs w:val="28"/>
        </w:rPr>
        <w:t>I</w:t>
      </w:r>
      <w:r>
        <w:rPr>
          <w:sz w:val="28"/>
          <w:szCs w:val="28"/>
        </w:rPr>
        <w:t xml:space="preserve">nternal </w:t>
      </w:r>
      <w:r w:rsidR="005A39D6">
        <w:rPr>
          <w:sz w:val="28"/>
          <w:szCs w:val="28"/>
        </w:rPr>
        <w:t>Revenue C</w:t>
      </w:r>
      <w:r>
        <w:rPr>
          <w:sz w:val="28"/>
          <w:szCs w:val="28"/>
        </w:rPr>
        <w:t>ode Section 6331 and the proceeds of the levy have been returned to the taxpayer.</w:t>
      </w:r>
    </w:p>
    <w:p w:rsidR="00EB78C0" w:rsidRDefault="00EB78C0" w:rsidP="006665EE">
      <w:pPr>
        <w:pStyle w:val="Work8"/>
        <w:numPr>
          <w:ilvl w:val="2"/>
          <w:numId w:val="19"/>
        </w:numPr>
        <w:spacing w:line="480" w:lineRule="auto"/>
        <w:ind w:left="0" w:firstLine="4320"/>
        <w:rPr>
          <w:sz w:val="28"/>
          <w:szCs w:val="28"/>
        </w:rPr>
      </w:pPr>
      <w:r>
        <w:rPr>
          <w:sz w:val="28"/>
          <w:szCs w:val="28"/>
        </w:rPr>
        <w:t>The party making the distribution delayed providing information that the receiving plan or IRA required to complete the rollover despite the taxpayer’s reasonable efforts to obtain the information.</w:t>
      </w:r>
    </w:p>
    <w:p w:rsidR="00EB78C0" w:rsidRPr="006665EE" w:rsidRDefault="008E1765" w:rsidP="00EB78C0">
      <w:pPr>
        <w:pStyle w:val="Work8"/>
        <w:numPr>
          <w:ilvl w:val="1"/>
          <w:numId w:val="19"/>
        </w:numPr>
        <w:tabs>
          <w:tab w:val="clear" w:pos="4590"/>
        </w:tabs>
        <w:spacing w:line="480" w:lineRule="auto"/>
        <w:ind w:left="0" w:firstLine="3600"/>
        <w:rPr>
          <w:sz w:val="28"/>
          <w:szCs w:val="28"/>
        </w:rPr>
      </w:pPr>
      <w:r>
        <w:rPr>
          <w:sz w:val="28"/>
          <w:szCs w:val="28"/>
        </w:rPr>
        <w:t>Be careful!  If the taxpayer’s return is audited, and a material misstatement was made in the self-certification of the rollover of an IRA distribution or one of the other requirements for self-</w:t>
      </w:r>
      <w:r>
        <w:rPr>
          <w:sz w:val="28"/>
          <w:szCs w:val="28"/>
        </w:rPr>
        <w:lastRenderedPageBreak/>
        <w:t xml:space="preserve">certification was in fact not met, the IRS can </w:t>
      </w:r>
      <w:r w:rsidR="005A39D6">
        <w:rPr>
          <w:sz w:val="28"/>
          <w:szCs w:val="28"/>
        </w:rPr>
        <w:t xml:space="preserve">still </w:t>
      </w:r>
      <w:r>
        <w:rPr>
          <w:sz w:val="28"/>
          <w:szCs w:val="28"/>
        </w:rPr>
        <w:t>disallow the waiver</w:t>
      </w:r>
      <w:r w:rsidR="005A39D6">
        <w:rPr>
          <w:sz w:val="28"/>
          <w:szCs w:val="28"/>
        </w:rPr>
        <w:t>,</w:t>
      </w:r>
      <w:r>
        <w:rPr>
          <w:sz w:val="28"/>
          <w:szCs w:val="28"/>
        </w:rPr>
        <w:t xml:space="preserve"> which will lead to income taxes, plus interest, plus penalties.</w:t>
      </w:r>
    </w:p>
    <w:p w:rsidR="00840361" w:rsidRPr="000E0989" w:rsidRDefault="00840361" w:rsidP="006E6E3A">
      <w:pPr>
        <w:pStyle w:val="Work2"/>
        <w:spacing w:line="480" w:lineRule="auto"/>
        <w:ind w:left="0" w:firstLine="1440"/>
        <w:jc w:val="both"/>
        <w:rPr>
          <w:rFonts w:cs="Times New Roman"/>
          <w:sz w:val="28"/>
          <w:szCs w:val="28"/>
        </w:rPr>
      </w:pPr>
      <w:r w:rsidRPr="00D47524">
        <w:rPr>
          <w:rFonts w:cs="Times New Roman"/>
          <w:sz w:val="28"/>
          <w:szCs w:val="28"/>
        </w:rPr>
        <w:t>Separate Accounts and Multiple Benef</w:t>
      </w:r>
      <w:r w:rsidRPr="000E0989">
        <w:rPr>
          <w:rFonts w:cs="Times New Roman"/>
          <w:sz w:val="28"/>
          <w:szCs w:val="28"/>
        </w:rPr>
        <w:t>iciaries</w:t>
      </w:r>
    </w:p>
    <w:p w:rsidR="00840361" w:rsidRPr="00821285" w:rsidRDefault="00840361" w:rsidP="00E35818">
      <w:pPr>
        <w:widowControl/>
        <w:numPr>
          <w:ilvl w:val="0"/>
          <w:numId w:val="21"/>
        </w:numPr>
        <w:tabs>
          <w:tab w:val="clear" w:pos="2880"/>
        </w:tabs>
        <w:spacing w:after="240" w:line="480" w:lineRule="auto"/>
        <w:ind w:left="0" w:firstLine="2160"/>
        <w:jc w:val="both"/>
        <w:rPr>
          <w:rFonts w:ascii="Times New Roman" w:hAnsi="Times New Roman" w:cs="Times New Roman"/>
          <w:sz w:val="28"/>
          <w:szCs w:val="28"/>
        </w:rPr>
      </w:pPr>
      <w:r w:rsidRPr="000E0989">
        <w:rPr>
          <w:rFonts w:ascii="Times New Roman" w:hAnsi="Times New Roman" w:cs="Times New Roman"/>
          <w:sz w:val="28"/>
          <w:szCs w:val="28"/>
        </w:rPr>
        <w:t>If ther</w:t>
      </w:r>
      <w:r w:rsidRPr="00821285">
        <w:rPr>
          <w:rFonts w:ascii="Times New Roman" w:hAnsi="Times New Roman" w:cs="Times New Roman"/>
          <w:sz w:val="28"/>
          <w:szCs w:val="28"/>
        </w:rPr>
        <w:t xml:space="preserve">e are multiple beneficiaries of a retirement account, then the RMD is based on the life expectancy of the oldest beneficiary.  Treas. Reg. </w:t>
      </w:r>
      <w:r>
        <w:rPr>
          <w:rFonts w:ascii="Times New Roman" w:hAnsi="Times New Roman" w:cs="Times New Roman"/>
          <w:sz w:val="28"/>
          <w:szCs w:val="28"/>
        </w:rPr>
        <w:t>§ </w:t>
      </w:r>
      <w:r w:rsidRPr="00821285">
        <w:rPr>
          <w:rFonts w:ascii="Times New Roman" w:hAnsi="Times New Roman" w:cs="Times New Roman"/>
          <w:sz w:val="28"/>
          <w:szCs w:val="28"/>
        </w:rPr>
        <w:t>1.401(a)(9)-5, A-7(a)(1).</w:t>
      </w:r>
    </w:p>
    <w:p w:rsidR="00840361" w:rsidRPr="00821285" w:rsidRDefault="00840361" w:rsidP="00E35818">
      <w:pPr>
        <w:widowControl/>
        <w:numPr>
          <w:ilvl w:val="0"/>
          <w:numId w:val="21"/>
        </w:numPr>
        <w:tabs>
          <w:tab w:val="clear" w:pos="2880"/>
        </w:tabs>
        <w:spacing w:after="0" w:line="480" w:lineRule="auto"/>
        <w:ind w:left="0" w:firstLine="2160"/>
        <w:jc w:val="both"/>
        <w:rPr>
          <w:rFonts w:ascii="Times New Roman" w:hAnsi="Times New Roman" w:cs="Times New Roman"/>
          <w:sz w:val="28"/>
          <w:szCs w:val="28"/>
        </w:rPr>
      </w:pPr>
      <w:r w:rsidRPr="00821285">
        <w:rPr>
          <w:rFonts w:ascii="Times New Roman" w:hAnsi="Times New Roman" w:cs="Times New Roman"/>
          <w:sz w:val="28"/>
          <w:szCs w:val="28"/>
        </w:rPr>
        <w:t xml:space="preserve">If separate accounts are “established” for multiple beneficiaries prior to December 31 of the year after the calendar year of the taxpayer’s death, then the RMD rules will apply separately to each such separate account.  Treas. Reg. </w:t>
      </w:r>
      <w:r>
        <w:rPr>
          <w:rFonts w:ascii="Times New Roman" w:hAnsi="Times New Roman" w:cs="Times New Roman"/>
          <w:sz w:val="28"/>
          <w:szCs w:val="28"/>
        </w:rPr>
        <w:t>§ </w:t>
      </w:r>
      <w:r w:rsidRPr="00821285">
        <w:rPr>
          <w:rFonts w:ascii="Times New Roman" w:hAnsi="Times New Roman" w:cs="Times New Roman"/>
          <w:sz w:val="28"/>
          <w:szCs w:val="28"/>
        </w:rPr>
        <w:t xml:space="preserve">1.401(a)(9)-4, A-5(c); Treas. Reg. </w:t>
      </w:r>
      <w:r>
        <w:rPr>
          <w:rFonts w:ascii="Times New Roman" w:hAnsi="Times New Roman" w:cs="Times New Roman"/>
          <w:sz w:val="28"/>
          <w:szCs w:val="28"/>
        </w:rPr>
        <w:t>§ </w:t>
      </w:r>
      <w:r w:rsidRPr="00821285">
        <w:rPr>
          <w:rFonts w:ascii="Times New Roman" w:hAnsi="Times New Roman" w:cs="Times New Roman"/>
          <w:sz w:val="28"/>
          <w:szCs w:val="28"/>
        </w:rPr>
        <w:t>1.401(a)(9)-8, A-2(a)(2).</w:t>
      </w:r>
    </w:p>
    <w:p w:rsidR="00840361" w:rsidRPr="00821285" w:rsidRDefault="00840361" w:rsidP="002B57B4">
      <w:pPr>
        <w:widowControl/>
        <w:numPr>
          <w:ilvl w:val="1"/>
          <w:numId w:val="21"/>
        </w:numPr>
        <w:tabs>
          <w:tab w:val="clear" w:pos="2520"/>
        </w:tabs>
        <w:spacing w:after="0" w:line="480" w:lineRule="auto"/>
        <w:ind w:left="0" w:firstLine="2880"/>
        <w:jc w:val="both"/>
        <w:rPr>
          <w:rFonts w:ascii="Times New Roman" w:hAnsi="Times New Roman" w:cs="Times New Roman"/>
          <w:sz w:val="28"/>
          <w:szCs w:val="28"/>
        </w:rPr>
      </w:pPr>
      <w:r w:rsidRPr="00821285">
        <w:rPr>
          <w:rFonts w:ascii="Times New Roman" w:hAnsi="Times New Roman" w:cs="Times New Roman"/>
          <w:sz w:val="28"/>
          <w:szCs w:val="28"/>
        </w:rPr>
        <w:t xml:space="preserve">A separate account allows you to calculate the RMD based on the life expectancy of the oldest beneficiary of </w:t>
      </w:r>
      <w:r w:rsidRPr="00821285">
        <w:rPr>
          <w:rFonts w:ascii="Times New Roman" w:hAnsi="Times New Roman" w:cs="Times New Roman"/>
          <w:sz w:val="28"/>
          <w:szCs w:val="28"/>
          <w:u w:val="single"/>
        </w:rPr>
        <w:t>such separate account</w:t>
      </w:r>
      <w:r w:rsidRPr="00821285">
        <w:rPr>
          <w:rFonts w:ascii="Times New Roman" w:hAnsi="Times New Roman" w:cs="Times New Roman"/>
          <w:sz w:val="28"/>
          <w:szCs w:val="28"/>
        </w:rPr>
        <w:t xml:space="preserve">.  </w:t>
      </w:r>
    </w:p>
    <w:p w:rsidR="00840361" w:rsidRPr="00821285" w:rsidRDefault="00840361" w:rsidP="002B57B4">
      <w:pPr>
        <w:widowControl/>
        <w:numPr>
          <w:ilvl w:val="1"/>
          <w:numId w:val="21"/>
        </w:numPr>
        <w:tabs>
          <w:tab w:val="clear" w:pos="2520"/>
        </w:tabs>
        <w:spacing w:after="0" w:line="480" w:lineRule="auto"/>
        <w:ind w:left="0" w:firstLine="2880"/>
        <w:jc w:val="both"/>
        <w:rPr>
          <w:rFonts w:ascii="Times New Roman" w:hAnsi="Times New Roman" w:cs="Times New Roman"/>
          <w:sz w:val="28"/>
          <w:szCs w:val="28"/>
        </w:rPr>
      </w:pPr>
      <w:r w:rsidRPr="00821285">
        <w:rPr>
          <w:rFonts w:ascii="Times New Roman" w:hAnsi="Times New Roman" w:cs="Times New Roman"/>
          <w:sz w:val="28"/>
          <w:szCs w:val="28"/>
        </w:rPr>
        <w:t xml:space="preserve">To establish separate accounts, the beneficiaries' interests must be fractional (i.e. not pecuniary). In addition, some affirmative act is required to establish the separate accounts (i.e., a physical division of a single account into completely separate accounts, or using separate account language on the beneficiary designation form).  </w:t>
      </w:r>
    </w:p>
    <w:p w:rsidR="00840361" w:rsidRDefault="00840361" w:rsidP="002B57B4">
      <w:pPr>
        <w:widowControl/>
        <w:numPr>
          <w:ilvl w:val="1"/>
          <w:numId w:val="21"/>
        </w:numPr>
        <w:tabs>
          <w:tab w:val="clear" w:pos="2520"/>
        </w:tabs>
        <w:spacing w:after="0" w:line="480" w:lineRule="auto"/>
        <w:ind w:left="0" w:firstLine="2880"/>
        <w:jc w:val="both"/>
        <w:rPr>
          <w:rFonts w:ascii="Times New Roman" w:hAnsi="Times New Roman" w:cs="Times New Roman"/>
          <w:sz w:val="28"/>
          <w:szCs w:val="28"/>
        </w:rPr>
      </w:pPr>
      <w:r w:rsidRPr="00821285">
        <w:rPr>
          <w:rFonts w:ascii="Times New Roman" w:hAnsi="Times New Roman" w:cs="Times New Roman"/>
          <w:sz w:val="28"/>
          <w:szCs w:val="28"/>
        </w:rPr>
        <w:lastRenderedPageBreak/>
        <w:t>Whenever possible, it is best to create the separate accounts with appropriate language directly on the beneficiary designation form.</w:t>
      </w:r>
    </w:p>
    <w:p w:rsidR="00840361" w:rsidRDefault="00840361" w:rsidP="00E35818">
      <w:pPr>
        <w:widowControl/>
        <w:numPr>
          <w:ilvl w:val="0"/>
          <w:numId w:val="21"/>
        </w:numPr>
        <w:tabs>
          <w:tab w:val="clear" w:pos="2880"/>
        </w:tabs>
        <w:spacing w:after="0" w:line="480" w:lineRule="auto"/>
        <w:ind w:left="0" w:firstLine="2160"/>
        <w:jc w:val="both"/>
        <w:rPr>
          <w:rFonts w:ascii="Times New Roman" w:hAnsi="Times New Roman" w:cs="Times New Roman"/>
          <w:sz w:val="28"/>
          <w:szCs w:val="28"/>
        </w:rPr>
      </w:pPr>
      <w:r>
        <w:rPr>
          <w:rFonts w:ascii="Times New Roman" w:hAnsi="Times New Roman" w:cs="Times New Roman"/>
          <w:sz w:val="28"/>
          <w:szCs w:val="28"/>
        </w:rPr>
        <w:t>Is separate account treatment available when a trust is the beneficiary of an IRA?</w:t>
      </w:r>
    </w:p>
    <w:p w:rsidR="00840361" w:rsidRDefault="00840361" w:rsidP="002B57B4">
      <w:pPr>
        <w:widowControl/>
        <w:numPr>
          <w:ilvl w:val="1"/>
          <w:numId w:val="21"/>
        </w:numPr>
        <w:tabs>
          <w:tab w:val="clear" w:pos="2520"/>
        </w:tabs>
        <w:spacing w:after="0" w:line="480" w:lineRule="auto"/>
        <w:ind w:left="0" w:firstLine="2880"/>
        <w:jc w:val="both"/>
        <w:rPr>
          <w:rFonts w:ascii="Times New Roman" w:hAnsi="Times New Roman" w:cs="Times New Roman"/>
          <w:sz w:val="28"/>
          <w:szCs w:val="28"/>
        </w:rPr>
      </w:pPr>
      <w:r>
        <w:rPr>
          <w:rFonts w:ascii="Times New Roman" w:hAnsi="Times New Roman" w:cs="Times New Roman"/>
          <w:sz w:val="28"/>
          <w:szCs w:val="28"/>
        </w:rPr>
        <w:t>Treas. Reg. § 1.401(a)(9)-4, A-5(c) clearly provides that the separate account rules are not available to individual beneficiaries of a trust with respect to the trust’s interest in the participant’s retirement plan.</w:t>
      </w:r>
    </w:p>
    <w:p w:rsidR="00840361" w:rsidRDefault="00840361" w:rsidP="002B57B4">
      <w:pPr>
        <w:widowControl/>
        <w:numPr>
          <w:ilvl w:val="1"/>
          <w:numId w:val="21"/>
        </w:numPr>
        <w:tabs>
          <w:tab w:val="clear" w:pos="2520"/>
        </w:tabs>
        <w:spacing w:after="0" w:line="480" w:lineRule="auto"/>
        <w:ind w:left="0" w:firstLine="2880"/>
        <w:jc w:val="both"/>
        <w:rPr>
          <w:rFonts w:ascii="Times New Roman" w:hAnsi="Times New Roman" w:cs="Times New Roman"/>
          <w:sz w:val="28"/>
          <w:szCs w:val="28"/>
        </w:rPr>
      </w:pPr>
      <w:r>
        <w:rPr>
          <w:rFonts w:ascii="Times New Roman" w:hAnsi="Times New Roman" w:cs="Times New Roman"/>
          <w:sz w:val="28"/>
          <w:szCs w:val="28"/>
        </w:rPr>
        <w:t>PLR 201503024 provides a lesson to the effect that, you should not believe every word you read in IRS regulations!  This PLR involved an IRA wherein the decedent’s trust was named as beneficiary, and such trust provided for ultimate distribution of its residuary to five (5) individual beneficiaries.  In PLR 201503024, the IRS made the following rulings:</w:t>
      </w:r>
    </w:p>
    <w:p w:rsidR="00840361" w:rsidRPr="00F528B2" w:rsidRDefault="00840361" w:rsidP="002B57B4">
      <w:pPr>
        <w:pStyle w:val="ListParagraph"/>
        <w:widowControl/>
        <w:numPr>
          <w:ilvl w:val="2"/>
          <w:numId w:val="21"/>
        </w:numPr>
        <w:tabs>
          <w:tab w:val="clear" w:pos="3240"/>
        </w:tabs>
        <w:spacing w:after="0" w:line="480" w:lineRule="auto"/>
        <w:ind w:left="0" w:firstLine="3600"/>
        <w:jc w:val="both"/>
        <w:rPr>
          <w:rFonts w:ascii="Times New Roman" w:hAnsi="Times New Roman" w:cs="Times New Roman"/>
          <w:sz w:val="28"/>
          <w:szCs w:val="28"/>
        </w:rPr>
      </w:pPr>
      <w:r w:rsidRPr="00F528B2">
        <w:rPr>
          <w:rFonts w:ascii="Times New Roman" w:hAnsi="Times New Roman" w:cs="Times New Roman"/>
          <w:sz w:val="28"/>
          <w:szCs w:val="28"/>
        </w:rPr>
        <w:t>The deced</w:t>
      </w:r>
      <w:r>
        <w:rPr>
          <w:rFonts w:ascii="Times New Roman" w:hAnsi="Times New Roman" w:cs="Times New Roman"/>
          <w:sz w:val="28"/>
          <w:szCs w:val="28"/>
        </w:rPr>
        <w:t>e</w:t>
      </w:r>
      <w:r w:rsidRPr="00F528B2">
        <w:rPr>
          <w:rFonts w:ascii="Times New Roman" w:hAnsi="Times New Roman" w:cs="Times New Roman"/>
          <w:sz w:val="28"/>
          <w:szCs w:val="28"/>
        </w:rPr>
        <w:t xml:space="preserve">nt’s trust constitutes a “see-through” trust within the meaning of the </w:t>
      </w:r>
      <w:r>
        <w:rPr>
          <w:rFonts w:ascii="Times New Roman" w:hAnsi="Times New Roman" w:cs="Times New Roman"/>
          <w:sz w:val="28"/>
          <w:szCs w:val="28"/>
        </w:rPr>
        <w:t xml:space="preserve">Section </w:t>
      </w:r>
      <w:r w:rsidRPr="00F528B2">
        <w:rPr>
          <w:rFonts w:ascii="Times New Roman" w:hAnsi="Times New Roman" w:cs="Times New Roman"/>
          <w:sz w:val="28"/>
          <w:szCs w:val="28"/>
        </w:rPr>
        <w:t>401(a)(9) regulations.</w:t>
      </w:r>
    </w:p>
    <w:p w:rsidR="00840361" w:rsidRDefault="00840361" w:rsidP="002B57B4">
      <w:pPr>
        <w:widowControl/>
        <w:numPr>
          <w:ilvl w:val="2"/>
          <w:numId w:val="21"/>
        </w:numPr>
        <w:tabs>
          <w:tab w:val="clear" w:pos="3240"/>
        </w:tabs>
        <w:spacing w:after="0" w:line="480" w:lineRule="auto"/>
        <w:ind w:left="0" w:firstLine="3600"/>
        <w:jc w:val="both"/>
        <w:rPr>
          <w:rFonts w:ascii="Times New Roman" w:hAnsi="Times New Roman" w:cs="Times New Roman"/>
          <w:sz w:val="28"/>
          <w:szCs w:val="28"/>
        </w:rPr>
      </w:pPr>
      <w:r>
        <w:rPr>
          <w:rFonts w:ascii="Times New Roman" w:hAnsi="Times New Roman" w:cs="Times New Roman"/>
          <w:sz w:val="28"/>
          <w:szCs w:val="28"/>
        </w:rPr>
        <w:t>Five separate beneficiary IRAs, established by the Trustee for each of the five residuary trust shares, will be considered “inherited IRAs” within the meaning of Section 408 of the Code.</w:t>
      </w:r>
    </w:p>
    <w:p w:rsidR="00840361" w:rsidRDefault="00840361" w:rsidP="002B57B4">
      <w:pPr>
        <w:widowControl/>
        <w:numPr>
          <w:ilvl w:val="2"/>
          <w:numId w:val="21"/>
        </w:numPr>
        <w:tabs>
          <w:tab w:val="clear" w:pos="3240"/>
        </w:tabs>
        <w:spacing w:after="0" w:line="480" w:lineRule="auto"/>
        <w:ind w:left="0" w:firstLine="3600"/>
        <w:jc w:val="both"/>
        <w:rPr>
          <w:rFonts w:ascii="Times New Roman" w:hAnsi="Times New Roman" w:cs="Times New Roman"/>
          <w:sz w:val="28"/>
          <w:szCs w:val="28"/>
        </w:rPr>
      </w:pPr>
      <w:r>
        <w:rPr>
          <w:rFonts w:ascii="Times New Roman" w:hAnsi="Times New Roman" w:cs="Times New Roman"/>
          <w:sz w:val="28"/>
          <w:szCs w:val="28"/>
        </w:rPr>
        <w:t xml:space="preserve">Sections 401(a)(9) and 408 of the Code do not preclude the division of decedent’s IRA and the establishment of the five </w:t>
      </w:r>
      <w:r>
        <w:rPr>
          <w:rFonts w:ascii="Times New Roman" w:hAnsi="Times New Roman" w:cs="Times New Roman"/>
          <w:sz w:val="28"/>
          <w:szCs w:val="28"/>
        </w:rPr>
        <w:lastRenderedPageBreak/>
        <w:t>beneficiary IRAs, each in the name of the decedent for the benefit of one of the five beneficiaries of the trust.</w:t>
      </w:r>
    </w:p>
    <w:p w:rsidR="00840361" w:rsidRDefault="00840361" w:rsidP="002B57B4">
      <w:pPr>
        <w:widowControl/>
        <w:numPr>
          <w:ilvl w:val="2"/>
          <w:numId w:val="21"/>
        </w:numPr>
        <w:tabs>
          <w:tab w:val="clear" w:pos="3240"/>
        </w:tabs>
        <w:spacing w:after="0" w:line="480" w:lineRule="auto"/>
        <w:ind w:left="0" w:firstLine="3600"/>
        <w:jc w:val="both"/>
        <w:rPr>
          <w:rFonts w:ascii="Times New Roman" w:hAnsi="Times New Roman" w:cs="Times New Roman"/>
          <w:sz w:val="28"/>
          <w:szCs w:val="28"/>
        </w:rPr>
      </w:pPr>
      <w:r>
        <w:rPr>
          <w:rFonts w:ascii="Times New Roman" w:hAnsi="Times New Roman" w:cs="Times New Roman"/>
          <w:sz w:val="28"/>
          <w:szCs w:val="28"/>
        </w:rPr>
        <w:t>The trustee-to-trustee transfers to the five beneficiary IRAs will not constitute taxable distributions, nor will they be considered attempted rollovers.</w:t>
      </w:r>
    </w:p>
    <w:p w:rsidR="00840361" w:rsidRDefault="00840361" w:rsidP="002B57B4">
      <w:pPr>
        <w:widowControl/>
        <w:numPr>
          <w:ilvl w:val="2"/>
          <w:numId w:val="21"/>
        </w:numPr>
        <w:tabs>
          <w:tab w:val="clear" w:pos="3240"/>
        </w:tabs>
        <w:spacing w:after="0" w:line="480" w:lineRule="auto"/>
        <w:ind w:left="0" w:firstLine="3600"/>
        <w:jc w:val="both"/>
        <w:rPr>
          <w:rFonts w:ascii="Times New Roman" w:hAnsi="Times New Roman" w:cs="Times New Roman"/>
          <w:sz w:val="28"/>
          <w:szCs w:val="28"/>
        </w:rPr>
      </w:pPr>
      <w:r>
        <w:rPr>
          <w:rFonts w:ascii="Times New Roman" w:hAnsi="Times New Roman" w:cs="Times New Roman"/>
          <w:sz w:val="28"/>
          <w:szCs w:val="28"/>
        </w:rPr>
        <w:t>The trustee-to-trustee transfers to the five beneficiary IRAs will not cause the beneficiary IRAs to lose their qualified status under Section 408(a) of the Code.</w:t>
      </w:r>
    </w:p>
    <w:p w:rsidR="00840361" w:rsidRDefault="00840361" w:rsidP="002B57B4">
      <w:pPr>
        <w:widowControl/>
        <w:numPr>
          <w:ilvl w:val="2"/>
          <w:numId w:val="21"/>
        </w:numPr>
        <w:tabs>
          <w:tab w:val="clear" w:pos="3240"/>
        </w:tabs>
        <w:spacing w:after="0" w:line="480" w:lineRule="auto"/>
        <w:ind w:left="0" w:firstLine="3600"/>
        <w:jc w:val="both"/>
        <w:rPr>
          <w:rFonts w:ascii="Times New Roman" w:hAnsi="Times New Roman" w:cs="Times New Roman"/>
          <w:sz w:val="28"/>
          <w:szCs w:val="28"/>
        </w:rPr>
      </w:pPr>
      <w:r>
        <w:rPr>
          <w:rFonts w:ascii="Times New Roman" w:hAnsi="Times New Roman" w:cs="Times New Roman"/>
          <w:sz w:val="28"/>
          <w:szCs w:val="28"/>
        </w:rPr>
        <w:t>Each of the individuals may receive the required minimum distribution under Section 401(a)(9) of the Code from his or her respective beneficiary IRA, using the life expectancy of the oldest of the five individuals who remains a beneficiary as of the Beneficiary Determination Date of September 30, 2014.</w:t>
      </w:r>
    </w:p>
    <w:p w:rsidR="00840361" w:rsidRPr="00821285" w:rsidRDefault="00840361" w:rsidP="002B57B4">
      <w:pPr>
        <w:pStyle w:val="Work2"/>
        <w:numPr>
          <w:ilvl w:val="0"/>
          <w:numId w:val="0"/>
        </w:numPr>
        <w:spacing w:after="0" w:line="480" w:lineRule="auto"/>
        <w:ind w:firstLine="1440"/>
        <w:jc w:val="both"/>
        <w:rPr>
          <w:rFonts w:cs="Times New Roman"/>
          <w:sz w:val="28"/>
          <w:szCs w:val="28"/>
          <w:vertAlign w:val="superscript"/>
        </w:rPr>
      </w:pPr>
      <w:r w:rsidRPr="00821285">
        <w:rPr>
          <w:rFonts w:cs="Times New Roman"/>
          <w:sz w:val="28"/>
          <w:szCs w:val="28"/>
        </w:rPr>
        <w:t>C.</w:t>
      </w:r>
      <w:r w:rsidRPr="00821285">
        <w:rPr>
          <w:rFonts w:cs="Times New Roman"/>
          <w:sz w:val="28"/>
          <w:szCs w:val="28"/>
        </w:rPr>
        <w:tab/>
        <w:t>Eliminating Unwanted Beneficiaries Prior To September 30</w:t>
      </w:r>
      <w:r w:rsidRPr="00821285">
        <w:rPr>
          <w:rFonts w:cs="Times New Roman"/>
          <w:sz w:val="28"/>
          <w:szCs w:val="28"/>
          <w:vertAlign w:val="superscript"/>
        </w:rPr>
        <w:t>th</w:t>
      </w:r>
    </w:p>
    <w:p w:rsidR="00840361" w:rsidRPr="00821285" w:rsidRDefault="00840361" w:rsidP="00E35818">
      <w:pPr>
        <w:widowControl/>
        <w:numPr>
          <w:ilvl w:val="0"/>
          <w:numId w:val="22"/>
        </w:numPr>
        <w:tabs>
          <w:tab w:val="clear" w:pos="2880"/>
        </w:tabs>
        <w:spacing w:after="0" w:line="480" w:lineRule="auto"/>
        <w:ind w:left="0" w:firstLine="2160"/>
        <w:jc w:val="both"/>
        <w:rPr>
          <w:rFonts w:ascii="Times New Roman" w:hAnsi="Times New Roman" w:cs="Times New Roman"/>
          <w:sz w:val="28"/>
          <w:szCs w:val="28"/>
        </w:rPr>
      </w:pPr>
      <w:r w:rsidRPr="00821285">
        <w:rPr>
          <w:rFonts w:ascii="Times New Roman" w:hAnsi="Times New Roman" w:cs="Times New Roman"/>
          <w:sz w:val="28"/>
          <w:szCs w:val="28"/>
        </w:rPr>
        <w:t xml:space="preserve">The deadline for determining who the initial beneficiaries of a retirement account are is the date of the taxpayer’s death.  </w:t>
      </w:r>
    </w:p>
    <w:p w:rsidR="00840361" w:rsidRDefault="00840361" w:rsidP="00E35818">
      <w:pPr>
        <w:widowControl/>
        <w:numPr>
          <w:ilvl w:val="0"/>
          <w:numId w:val="22"/>
        </w:numPr>
        <w:tabs>
          <w:tab w:val="clear" w:pos="2880"/>
        </w:tabs>
        <w:spacing w:after="0" w:line="480" w:lineRule="auto"/>
        <w:ind w:left="0" w:firstLine="2160"/>
        <w:jc w:val="both"/>
        <w:rPr>
          <w:rFonts w:ascii="Times New Roman" w:hAnsi="Times New Roman" w:cs="Times New Roman"/>
          <w:sz w:val="28"/>
          <w:szCs w:val="28"/>
        </w:rPr>
      </w:pPr>
      <w:r w:rsidRPr="00821285">
        <w:rPr>
          <w:rFonts w:ascii="Times New Roman" w:hAnsi="Times New Roman" w:cs="Times New Roman"/>
          <w:sz w:val="28"/>
          <w:szCs w:val="28"/>
        </w:rPr>
        <w:t>However, between the taxpayer’s death and September 30</w:t>
      </w:r>
      <w:r w:rsidRPr="00821285">
        <w:rPr>
          <w:rFonts w:ascii="Times New Roman" w:hAnsi="Times New Roman" w:cs="Times New Roman"/>
          <w:sz w:val="28"/>
          <w:szCs w:val="28"/>
          <w:vertAlign w:val="superscript"/>
        </w:rPr>
        <w:t>th</w:t>
      </w:r>
      <w:r w:rsidRPr="00821285">
        <w:rPr>
          <w:rFonts w:ascii="Times New Roman" w:hAnsi="Times New Roman" w:cs="Times New Roman"/>
          <w:sz w:val="28"/>
          <w:szCs w:val="28"/>
        </w:rPr>
        <w:t xml:space="preserve"> of the year following the year of the taxpayer's death, non-individual beneficiaries may be removed by </w:t>
      </w:r>
      <w:r>
        <w:rPr>
          <w:rFonts w:ascii="Times New Roman" w:hAnsi="Times New Roman" w:cs="Times New Roman"/>
          <w:sz w:val="28"/>
          <w:szCs w:val="28"/>
        </w:rPr>
        <w:t xml:space="preserve">a disclaimer of </w:t>
      </w:r>
      <w:r w:rsidRPr="00821285">
        <w:rPr>
          <w:rFonts w:ascii="Times New Roman" w:hAnsi="Times New Roman" w:cs="Times New Roman"/>
          <w:sz w:val="28"/>
          <w:szCs w:val="28"/>
        </w:rPr>
        <w:t xml:space="preserve">the interest, creating separate </w:t>
      </w:r>
      <w:r w:rsidRPr="00821285">
        <w:rPr>
          <w:rFonts w:ascii="Times New Roman" w:hAnsi="Times New Roman" w:cs="Times New Roman"/>
          <w:sz w:val="28"/>
          <w:szCs w:val="28"/>
        </w:rPr>
        <w:lastRenderedPageBreak/>
        <w:t xml:space="preserve">accounts, or eliminating them as beneficiaries by distributing their benefits outright to them in full.  Treas. Reg. </w:t>
      </w:r>
      <w:r>
        <w:rPr>
          <w:rFonts w:ascii="Times New Roman" w:hAnsi="Times New Roman" w:cs="Times New Roman"/>
          <w:sz w:val="28"/>
          <w:szCs w:val="28"/>
        </w:rPr>
        <w:t>§ </w:t>
      </w:r>
      <w:r w:rsidRPr="00821285">
        <w:rPr>
          <w:rFonts w:ascii="Times New Roman" w:hAnsi="Times New Roman" w:cs="Times New Roman"/>
          <w:sz w:val="28"/>
          <w:szCs w:val="28"/>
        </w:rPr>
        <w:t>1.401(a)(9)-4, A-4(a).</w:t>
      </w:r>
    </w:p>
    <w:p w:rsidR="00840361" w:rsidRPr="00BC5648" w:rsidRDefault="00840361" w:rsidP="002B57B4">
      <w:pPr>
        <w:pStyle w:val="Work2"/>
        <w:numPr>
          <w:ilvl w:val="0"/>
          <w:numId w:val="0"/>
        </w:numPr>
        <w:spacing w:line="480" w:lineRule="auto"/>
        <w:ind w:firstLine="1440"/>
        <w:jc w:val="both"/>
        <w:rPr>
          <w:sz w:val="28"/>
          <w:szCs w:val="28"/>
        </w:rPr>
      </w:pPr>
      <w:r w:rsidRPr="00BC5648">
        <w:rPr>
          <w:sz w:val="28"/>
          <w:szCs w:val="28"/>
        </w:rPr>
        <w:t>D.</w:t>
      </w:r>
      <w:r w:rsidRPr="00BC5648">
        <w:rPr>
          <w:sz w:val="28"/>
          <w:szCs w:val="28"/>
        </w:rPr>
        <w:tab/>
      </w:r>
      <w:r>
        <w:rPr>
          <w:sz w:val="28"/>
          <w:szCs w:val="28"/>
        </w:rPr>
        <w:t>Roth IRAs</w:t>
      </w:r>
    </w:p>
    <w:p w:rsidR="00840361" w:rsidRDefault="00840361" w:rsidP="00E35818">
      <w:pPr>
        <w:pStyle w:val="Work3"/>
        <w:numPr>
          <w:ilvl w:val="0"/>
          <w:numId w:val="0"/>
        </w:numPr>
        <w:spacing w:line="480" w:lineRule="auto"/>
        <w:ind w:firstLine="2160"/>
        <w:jc w:val="both"/>
        <w:rPr>
          <w:sz w:val="28"/>
          <w:szCs w:val="28"/>
        </w:rPr>
      </w:pPr>
      <w:r w:rsidRPr="00BC5648">
        <w:rPr>
          <w:sz w:val="28"/>
          <w:szCs w:val="28"/>
        </w:rPr>
        <w:t>1.</w:t>
      </w:r>
      <w:r w:rsidRPr="00BC5648">
        <w:rPr>
          <w:sz w:val="28"/>
          <w:szCs w:val="28"/>
        </w:rPr>
        <w:tab/>
      </w:r>
      <w:r>
        <w:rPr>
          <w:sz w:val="28"/>
          <w:szCs w:val="28"/>
        </w:rPr>
        <w:t xml:space="preserve">Although we do not have near as much heartburn about the structure of beneficiary designations on Roth IRAs, the above-described RMD rules apply to the beneficiaries of a Roth IRA, and the RMD is computed as though the decedent had died before his RBD.  Treas. Reg. </w:t>
      </w:r>
      <w:r>
        <w:rPr>
          <w:rFonts w:cs="Times New Roman"/>
          <w:sz w:val="28"/>
          <w:szCs w:val="28"/>
        </w:rPr>
        <w:t>§</w:t>
      </w:r>
      <w:r>
        <w:rPr>
          <w:sz w:val="28"/>
          <w:szCs w:val="28"/>
        </w:rPr>
        <w:t> 1.408A-6, Q&amp;A (14)(b).</w:t>
      </w:r>
    </w:p>
    <w:p w:rsidR="00840361" w:rsidRDefault="00840361" w:rsidP="00E35818">
      <w:pPr>
        <w:pStyle w:val="Work3"/>
        <w:numPr>
          <w:ilvl w:val="0"/>
          <w:numId w:val="0"/>
        </w:numPr>
        <w:spacing w:line="480" w:lineRule="auto"/>
        <w:ind w:firstLine="2160"/>
        <w:jc w:val="both"/>
        <w:rPr>
          <w:sz w:val="28"/>
          <w:szCs w:val="28"/>
        </w:rPr>
      </w:pPr>
      <w:r>
        <w:rPr>
          <w:sz w:val="28"/>
          <w:szCs w:val="28"/>
        </w:rPr>
        <w:t>2.</w:t>
      </w:r>
      <w:r>
        <w:rPr>
          <w:sz w:val="28"/>
          <w:szCs w:val="28"/>
        </w:rPr>
        <w:tab/>
        <w:t>As you know, contributions to a Roth IRA have already been taxed, and therefore, qualified distributions from such Roth IRAs are not subject to income tax.  Nonetheless, it is still important to defer distributions from the Roth IRA as long as possible, so that the assets inside the Roth IRA continue to appreciate income tax free.  Accordingly, it is still critical for the beneficiary of a Roth IRA to be considered a “Designated Beneficiary”.</w:t>
      </w:r>
    </w:p>
    <w:p w:rsidR="00840361" w:rsidRDefault="00840361" w:rsidP="00E35818">
      <w:pPr>
        <w:pStyle w:val="Work3"/>
        <w:numPr>
          <w:ilvl w:val="0"/>
          <w:numId w:val="0"/>
        </w:numPr>
        <w:spacing w:line="480" w:lineRule="auto"/>
        <w:ind w:firstLine="2160"/>
        <w:jc w:val="both"/>
        <w:rPr>
          <w:sz w:val="28"/>
          <w:szCs w:val="28"/>
        </w:rPr>
      </w:pPr>
      <w:r>
        <w:rPr>
          <w:sz w:val="28"/>
          <w:szCs w:val="28"/>
        </w:rPr>
        <w:t>3.</w:t>
      </w:r>
      <w:r>
        <w:rPr>
          <w:sz w:val="28"/>
          <w:szCs w:val="28"/>
        </w:rPr>
        <w:tab/>
        <w:t>If the Roth IRA owner is interested in generation-skipping planning with adult grandchildren, naming the adult grandchildren as the beneficiaries of the Roth IRA will be a more efficient utilization of the GST exemption than naming them as beneficiary of a traditional IRA (since parts of the traditional IRA proceeds will be consumed by income tax liability).</w:t>
      </w:r>
    </w:p>
    <w:p w:rsidR="00DD5BC3" w:rsidRPr="00A34B3E" w:rsidRDefault="00DD5BC3" w:rsidP="00E84C72">
      <w:pPr>
        <w:pStyle w:val="Work1"/>
        <w:keepNext/>
        <w:keepLines/>
        <w:spacing w:after="0" w:line="480" w:lineRule="auto"/>
        <w:ind w:left="0" w:firstLine="720"/>
        <w:jc w:val="both"/>
        <w:rPr>
          <w:sz w:val="28"/>
          <w:szCs w:val="28"/>
        </w:rPr>
      </w:pPr>
      <w:r>
        <w:rPr>
          <w:sz w:val="28"/>
          <w:szCs w:val="28"/>
        </w:rPr>
        <w:lastRenderedPageBreak/>
        <w:t>LEAVING RETIREMENT ASSETS TO TRUSTS</w:t>
      </w:r>
    </w:p>
    <w:p w:rsidR="00DD5BC3" w:rsidRPr="00BD42F0" w:rsidRDefault="00DD5BC3" w:rsidP="00E84C72">
      <w:pPr>
        <w:pStyle w:val="Work2"/>
        <w:keepNext/>
        <w:keepLines/>
        <w:spacing w:after="0" w:line="480" w:lineRule="auto"/>
        <w:ind w:left="0" w:firstLine="1440"/>
        <w:jc w:val="both"/>
        <w:rPr>
          <w:sz w:val="28"/>
          <w:szCs w:val="28"/>
        </w:rPr>
      </w:pPr>
      <w:r w:rsidRPr="00BD42F0">
        <w:rPr>
          <w:sz w:val="28"/>
          <w:szCs w:val="28"/>
        </w:rPr>
        <w:t>Situations In Which Trusts Are Crucial</w:t>
      </w:r>
    </w:p>
    <w:p w:rsidR="00DD5BC3" w:rsidRPr="00BD42F0" w:rsidRDefault="00DD5BC3" w:rsidP="00E35818">
      <w:pPr>
        <w:widowControl/>
        <w:numPr>
          <w:ilvl w:val="0"/>
          <w:numId w:val="44"/>
        </w:numPr>
        <w:tabs>
          <w:tab w:val="clear" w:pos="2160"/>
        </w:tabs>
        <w:spacing w:after="0" w:line="480" w:lineRule="auto"/>
        <w:ind w:left="0" w:firstLine="2160"/>
        <w:jc w:val="both"/>
        <w:rPr>
          <w:rFonts w:ascii="Times New Roman" w:hAnsi="Times New Roman" w:cs="Times New Roman"/>
          <w:sz w:val="28"/>
          <w:szCs w:val="28"/>
        </w:rPr>
      </w:pPr>
      <w:r w:rsidRPr="00BD42F0">
        <w:rPr>
          <w:rFonts w:ascii="Times New Roman" w:hAnsi="Times New Roman" w:cs="Times New Roman"/>
          <w:sz w:val="28"/>
          <w:szCs w:val="28"/>
        </w:rPr>
        <w:t xml:space="preserve">In some situations a trust must be named as beneficiary, such as when (i) the beneficiary is a special needs child that relies on government benefits, (ii) the beneficiary is a second spouse whom you want to have limited access to the trust principal, (iii) the beneficiary is a minor, (iv) the beneficiary is a spendthrift, has substance abuse problems, etc., and (v) when retirement account assets must be used to fund a credit shelter trust. (discussed below). </w:t>
      </w:r>
    </w:p>
    <w:p w:rsidR="00DD5BC3" w:rsidRPr="00BD42F0" w:rsidRDefault="00DD5BC3" w:rsidP="00E35818">
      <w:pPr>
        <w:widowControl/>
        <w:numPr>
          <w:ilvl w:val="0"/>
          <w:numId w:val="44"/>
        </w:numPr>
        <w:tabs>
          <w:tab w:val="clear" w:pos="2160"/>
        </w:tabs>
        <w:spacing w:after="0" w:line="480" w:lineRule="auto"/>
        <w:ind w:left="0" w:firstLine="2160"/>
        <w:jc w:val="both"/>
        <w:rPr>
          <w:rFonts w:ascii="Times New Roman" w:hAnsi="Times New Roman" w:cs="Times New Roman"/>
          <w:sz w:val="28"/>
          <w:szCs w:val="28"/>
        </w:rPr>
      </w:pPr>
      <w:r w:rsidRPr="00BD42F0">
        <w:rPr>
          <w:rFonts w:ascii="Times New Roman" w:hAnsi="Times New Roman" w:cs="Times New Roman"/>
          <w:sz w:val="28"/>
          <w:szCs w:val="28"/>
        </w:rPr>
        <w:t xml:space="preserve">In these situations, the client may decide the reasons for naming a trust as beneficiary of the IRA outweigh the lost income tax deferral, or may decide a look-through trust is appropriate. </w:t>
      </w:r>
    </w:p>
    <w:p w:rsidR="00DD5BC3" w:rsidRPr="00BD42F0" w:rsidRDefault="00DD5BC3" w:rsidP="00D90845">
      <w:pPr>
        <w:pStyle w:val="Heading1"/>
        <w:keepNext w:val="0"/>
        <w:keepLines w:val="0"/>
        <w:spacing w:before="0" w:line="480" w:lineRule="auto"/>
        <w:ind w:firstLine="1440"/>
        <w:jc w:val="both"/>
        <w:rPr>
          <w:rFonts w:ascii="Times New Roman" w:hAnsi="Times New Roman" w:cs="Times New Roman"/>
          <w:b w:val="0"/>
          <w:color w:val="auto"/>
        </w:rPr>
      </w:pPr>
      <w:r w:rsidRPr="00BD42F0">
        <w:rPr>
          <w:rFonts w:ascii="Times New Roman" w:hAnsi="Times New Roman" w:cs="Times New Roman"/>
          <w:b w:val="0"/>
          <w:color w:val="auto"/>
        </w:rPr>
        <w:t>B.</w:t>
      </w:r>
      <w:r w:rsidRPr="00BD42F0">
        <w:rPr>
          <w:rFonts w:ascii="Times New Roman" w:hAnsi="Times New Roman" w:cs="Times New Roman"/>
          <w:color w:val="auto"/>
        </w:rPr>
        <w:tab/>
      </w:r>
      <w:r w:rsidRPr="00BD42F0">
        <w:rPr>
          <w:rFonts w:ascii="Times New Roman" w:hAnsi="Times New Roman" w:cs="Times New Roman"/>
          <w:b w:val="0"/>
          <w:color w:val="auto"/>
        </w:rPr>
        <w:t>What Are Look-Through Trusts</w:t>
      </w:r>
      <w:r w:rsidR="00055DE3">
        <w:rPr>
          <w:rFonts w:ascii="Times New Roman" w:hAnsi="Times New Roman" w:cs="Times New Roman"/>
          <w:b w:val="0"/>
          <w:color w:val="auto"/>
        </w:rPr>
        <w:t>, or See-Through Trusts</w:t>
      </w:r>
      <w:r>
        <w:rPr>
          <w:rFonts w:ascii="Times New Roman" w:hAnsi="Times New Roman" w:cs="Times New Roman"/>
          <w:b w:val="0"/>
          <w:color w:val="auto"/>
        </w:rPr>
        <w:t>?</w:t>
      </w:r>
    </w:p>
    <w:p w:rsidR="00DD5BC3" w:rsidRPr="00BD42F0" w:rsidRDefault="00DD5BC3" w:rsidP="00E35818">
      <w:pPr>
        <w:widowControl/>
        <w:numPr>
          <w:ilvl w:val="1"/>
          <w:numId w:val="44"/>
        </w:numPr>
        <w:tabs>
          <w:tab w:val="clear" w:pos="2880"/>
        </w:tabs>
        <w:spacing w:after="0" w:line="480" w:lineRule="auto"/>
        <w:ind w:left="0" w:firstLine="2160"/>
        <w:jc w:val="both"/>
        <w:rPr>
          <w:rFonts w:ascii="Times New Roman" w:hAnsi="Times New Roman" w:cs="Times New Roman"/>
          <w:sz w:val="28"/>
          <w:szCs w:val="28"/>
        </w:rPr>
      </w:pPr>
      <w:r w:rsidRPr="00BD42F0">
        <w:rPr>
          <w:rFonts w:ascii="Times New Roman" w:hAnsi="Times New Roman" w:cs="Times New Roman"/>
          <w:sz w:val="28"/>
          <w:szCs w:val="28"/>
        </w:rPr>
        <w:t xml:space="preserve">A trust that qualifies as a Designated Beneficiary is often referred to as a “look-through trust”.  </w:t>
      </w:r>
    </w:p>
    <w:p w:rsidR="00DD5BC3" w:rsidRPr="00BD42F0" w:rsidRDefault="00DD5BC3" w:rsidP="00D90845">
      <w:pPr>
        <w:widowControl/>
        <w:numPr>
          <w:ilvl w:val="2"/>
          <w:numId w:val="44"/>
        </w:numPr>
        <w:tabs>
          <w:tab w:val="clear" w:pos="2700"/>
        </w:tabs>
        <w:spacing w:after="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t xml:space="preserve">If a taxpayer names a look-through trust as the beneficiary, then the trust may make withdrawals from the account based on the life expectancy of the oldest beneficiary of the trust (i.e. the trust’s RMD is based on the age of the oldest beneficiary). </w:t>
      </w:r>
    </w:p>
    <w:p w:rsidR="00DD5BC3" w:rsidRPr="00BD42F0" w:rsidRDefault="00DD5BC3" w:rsidP="00D90845">
      <w:pPr>
        <w:widowControl/>
        <w:numPr>
          <w:ilvl w:val="2"/>
          <w:numId w:val="44"/>
        </w:numPr>
        <w:tabs>
          <w:tab w:val="clear" w:pos="2700"/>
        </w:tabs>
        <w:spacing w:after="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lastRenderedPageBreak/>
        <w:t>In essence, for these purposes, the trust is ignored and the beneficiaries of the trust are treated as the beneficiaries of the retirement account.</w:t>
      </w:r>
    </w:p>
    <w:p w:rsidR="00DD5BC3" w:rsidRPr="00BD42F0" w:rsidRDefault="00DD5BC3" w:rsidP="00E35818">
      <w:pPr>
        <w:spacing w:after="0" w:line="480" w:lineRule="auto"/>
        <w:ind w:firstLine="2160"/>
        <w:jc w:val="both"/>
        <w:rPr>
          <w:rFonts w:ascii="Times New Roman" w:hAnsi="Times New Roman" w:cs="Times New Roman"/>
          <w:sz w:val="28"/>
          <w:szCs w:val="28"/>
        </w:rPr>
      </w:pPr>
      <w:r w:rsidRPr="00BD42F0">
        <w:rPr>
          <w:rFonts w:ascii="Times New Roman" w:hAnsi="Times New Roman" w:cs="Times New Roman"/>
          <w:sz w:val="28"/>
          <w:szCs w:val="28"/>
        </w:rPr>
        <w:t>2.</w:t>
      </w:r>
      <w:r w:rsidRPr="00BD42F0">
        <w:rPr>
          <w:rFonts w:ascii="Times New Roman" w:hAnsi="Times New Roman" w:cs="Times New Roman"/>
          <w:sz w:val="28"/>
          <w:szCs w:val="28"/>
        </w:rPr>
        <w:tab/>
        <w:t>A trust must satisfy five tests to qualify as a Designated Beneficiary.</w:t>
      </w:r>
    </w:p>
    <w:p w:rsidR="00DD5BC3" w:rsidRPr="00BD42F0" w:rsidRDefault="00DD5BC3" w:rsidP="00B30016">
      <w:pPr>
        <w:spacing w:after="0" w:line="480" w:lineRule="auto"/>
        <w:ind w:firstLine="2880"/>
        <w:jc w:val="both"/>
        <w:rPr>
          <w:rFonts w:ascii="Times New Roman" w:hAnsi="Times New Roman" w:cs="Times New Roman"/>
          <w:sz w:val="28"/>
          <w:szCs w:val="28"/>
        </w:rPr>
      </w:pPr>
      <w:r w:rsidRPr="00BD42F0">
        <w:rPr>
          <w:rFonts w:ascii="Times New Roman" w:hAnsi="Times New Roman" w:cs="Times New Roman"/>
          <w:sz w:val="28"/>
          <w:szCs w:val="28"/>
        </w:rPr>
        <w:t>a.</w:t>
      </w:r>
      <w:r w:rsidRPr="00BD42F0">
        <w:rPr>
          <w:rFonts w:ascii="Times New Roman" w:hAnsi="Times New Roman" w:cs="Times New Roman"/>
          <w:sz w:val="28"/>
          <w:szCs w:val="28"/>
        </w:rPr>
        <w:tab/>
        <w:t xml:space="preserve">The first four tests are as follows:  (i) the trust must be valid under state law, (ii) the trust must be irrevocable or become irrevocable at the taxpayer’s death, (iii) the trust beneficiaries must be identifiable, and (iv) certain documentation must be provided to the plan administrator or IRA custodian by October 31 of the year after the taxpayer’s death. </w:t>
      </w:r>
    </w:p>
    <w:p w:rsidR="00DD5BC3" w:rsidRPr="00BD42F0" w:rsidRDefault="00DD5BC3" w:rsidP="00B30016">
      <w:pPr>
        <w:pStyle w:val="ListParagraph"/>
        <w:widowControl/>
        <w:spacing w:after="0" w:line="480" w:lineRule="auto"/>
        <w:ind w:left="0" w:firstLine="288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r>
      <w:r w:rsidRPr="00BD42F0">
        <w:rPr>
          <w:rFonts w:ascii="Times New Roman" w:hAnsi="Times New Roman" w:cs="Times New Roman"/>
          <w:sz w:val="28"/>
          <w:szCs w:val="28"/>
        </w:rPr>
        <w:t xml:space="preserve">If these four tests are met, then the trust is a Designated Beneficiary and the RMD will be based on the </w:t>
      </w:r>
      <w:r w:rsidRPr="00BD42F0">
        <w:rPr>
          <w:rFonts w:ascii="Times New Roman" w:hAnsi="Times New Roman" w:cs="Times New Roman"/>
          <w:sz w:val="28"/>
          <w:szCs w:val="28"/>
          <w:u w:val="single"/>
        </w:rPr>
        <w:t>oldest</w:t>
      </w:r>
      <w:r w:rsidRPr="00BD42F0">
        <w:rPr>
          <w:rFonts w:ascii="Times New Roman" w:hAnsi="Times New Roman" w:cs="Times New Roman"/>
          <w:sz w:val="28"/>
          <w:szCs w:val="28"/>
        </w:rPr>
        <w:t xml:space="preserve"> trust beneficiary’s life expectancy. </w:t>
      </w:r>
    </w:p>
    <w:p w:rsidR="00DD5BC3" w:rsidRPr="00BD42F0" w:rsidRDefault="00DD5BC3" w:rsidP="00B30016">
      <w:pPr>
        <w:pStyle w:val="ListParagraph"/>
        <w:widowControl/>
        <w:numPr>
          <w:ilvl w:val="2"/>
          <w:numId w:val="44"/>
        </w:numPr>
        <w:tabs>
          <w:tab w:val="clear" w:pos="2700"/>
        </w:tabs>
        <w:spacing w:after="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t xml:space="preserve">There is, in essence, a fifth test for the trust to be a Designated Beneficiary, as all of the beneficiaries of the trust must be individuals the oldest of whom can be identified. </w:t>
      </w:r>
    </w:p>
    <w:p w:rsidR="00DD5BC3" w:rsidRPr="00BD42F0" w:rsidRDefault="00DD5BC3" w:rsidP="00E35818">
      <w:pPr>
        <w:spacing w:after="0" w:line="480" w:lineRule="auto"/>
        <w:ind w:firstLine="2160"/>
        <w:jc w:val="both"/>
        <w:rPr>
          <w:rFonts w:ascii="Times New Roman" w:hAnsi="Times New Roman" w:cs="Times New Roman"/>
          <w:sz w:val="28"/>
          <w:szCs w:val="28"/>
        </w:rPr>
      </w:pPr>
      <w:r>
        <w:rPr>
          <w:rFonts w:ascii="Times New Roman" w:hAnsi="Times New Roman" w:cs="Times New Roman"/>
          <w:sz w:val="28"/>
          <w:szCs w:val="28"/>
        </w:rPr>
        <w:t>3.</w:t>
      </w:r>
      <w:r w:rsidRPr="00BD42F0">
        <w:rPr>
          <w:rFonts w:ascii="Times New Roman" w:hAnsi="Times New Roman" w:cs="Times New Roman"/>
          <w:sz w:val="28"/>
          <w:szCs w:val="28"/>
        </w:rPr>
        <w:tab/>
        <w:t>What Trust Beneficiaries Can Be Ignored</w:t>
      </w:r>
    </w:p>
    <w:p w:rsidR="00DD5BC3" w:rsidRPr="00BD42F0" w:rsidRDefault="00DD5BC3" w:rsidP="00B30016">
      <w:pPr>
        <w:pStyle w:val="BodyText"/>
        <w:keepLines w:val="0"/>
        <w:numPr>
          <w:ilvl w:val="0"/>
          <w:numId w:val="45"/>
        </w:numPr>
        <w:tabs>
          <w:tab w:val="clear" w:pos="-1440"/>
          <w:tab w:val="clear" w:pos="-720"/>
          <w:tab w:val="clear" w:pos="0"/>
          <w:tab w:val="clear" w:pos="720"/>
          <w:tab w:val="clear" w:pos="1440"/>
          <w:tab w:val="clear" w:pos="2160"/>
          <w:tab w:val="clear" w:pos="3600"/>
          <w:tab w:val="clear" w:pos="4320"/>
          <w:tab w:val="clear" w:pos="5040"/>
          <w:tab w:val="clear" w:pos="5760"/>
          <w:tab w:val="clear" w:pos="6480"/>
          <w:tab w:val="clear" w:pos="7200"/>
          <w:tab w:val="clear" w:pos="7920"/>
          <w:tab w:val="clear" w:pos="8640"/>
          <w:tab w:val="clear" w:pos="9360"/>
        </w:tabs>
        <w:spacing w:line="480" w:lineRule="auto"/>
        <w:ind w:left="0" w:firstLine="2880"/>
        <w:rPr>
          <w:sz w:val="28"/>
          <w:szCs w:val="28"/>
        </w:rPr>
      </w:pPr>
      <w:r w:rsidRPr="00BD42F0">
        <w:rPr>
          <w:sz w:val="28"/>
          <w:szCs w:val="28"/>
        </w:rPr>
        <w:t xml:space="preserve">It is sometimes a challenge to draft a trust that only has individual beneficiaries and where it is possible to ascertain the oldest </w:t>
      </w:r>
      <w:r w:rsidRPr="00BD42F0">
        <w:rPr>
          <w:sz w:val="28"/>
          <w:szCs w:val="28"/>
        </w:rPr>
        <w:lastRenderedPageBreak/>
        <w:t xml:space="preserve">beneficiary (especially when the IRS has not told us which contingent beneficiaries can be ignored!).  </w:t>
      </w:r>
    </w:p>
    <w:p w:rsidR="00DD5BC3" w:rsidRPr="00BD42F0" w:rsidRDefault="00DD5BC3" w:rsidP="00B30016">
      <w:pPr>
        <w:pStyle w:val="BodyText"/>
        <w:keepLines w:val="0"/>
        <w:numPr>
          <w:ilvl w:val="0"/>
          <w:numId w:val="4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480" w:lineRule="auto"/>
        <w:ind w:left="0" w:firstLine="2880"/>
        <w:rPr>
          <w:sz w:val="28"/>
          <w:szCs w:val="28"/>
        </w:rPr>
      </w:pPr>
      <w:r w:rsidRPr="00BD42F0">
        <w:rPr>
          <w:sz w:val="28"/>
          <w:szCs w:val="28"/>
        </w:rPr>
        <w:t>The regulations provide that if the first four tests above are met, then the beneficiaries of the trust are considered beneficiaries of the retirement account.  The question is, which beneficiaries must be considered?</w:t>
      </w:r>
    </w:p>
    <w:p w:rsidR="00DD5BC3" w:rsidRPr="00BD42F0" w:rsidRDefault="00DD5BC3" w:rsidP="00B30016">
      <w:pPr>
        <w:pStyle w:val="BodyText"/>
        <w:keepLines w:val="0"/>
        <w:numPr>
          <w:ilvl w:val="4"/>
          <w:numId w:val="21"/>
        </w:numPr>
        <w:tabs>
          <w:tab w:val="clear" w:pos="-1440"/>
          <w:tab w:val="clear" w:pos="-720"/>
          <w:tab w:val="clear" w:pos="0"/>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s>
        <w:spacing w:line="480" w:lineRule="auto"/>
        <w:ind w:left="0" w:firstLine="3600"/>
        <w:rPr>
          <w:sz w:val="28"/>
          <w:szCs w:val="28"/>
        </w:rPr>
      </w:pPr>
      <w:r w:rsidRPr="00BD42F0">
        <w:rPr>
          <w:sz w:val="28"/>
          <w:szCs w:val="28"/>
        </w:rPr>
        <w:t xml:space="preserve">The regulations provide two rules in this regard.  </w:t>
      </w:r>
    </w:p>
    <w:p w:rsidR="00DD5BC3" w:rsidRPr="00BD42F0" w:rsidRDefault="00DD5BC3" w:rsidP="00B30016">
      <w:pPr>
        <w:pStyle w:val="BodyText"/>
        <w:keepLines w:val="0"/>
        <w:numPr>
          <w:ilvl w:val="4"/>
          <w:numId w:val="21"/>
        </w:numPr>
        <w:tabs>
          <w:tab w:val="clear" w:pos="-1440"/>
          <w:tab w:val="clear" w:pos="-720"/>
          <w:tab w:val="clear" w:pos="0"/>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s>
        <w:spacing w:line="480" w:lineRule="auto"/>
        <w:ind w:left="0" w:firstLine="3600"/>
        <w:rPr>
          <w:sz w:val="28"/>
          <w:szCs w:val="28"/>
        </w:rPr>
      </w:pPr>
      <w:r w:rsidRPr="00BD42F0">
        <w:rPr>
          <w:sz w:val="28"/>
          <w:szCs w:val="28"/>
        </w:rPr>
        <w:t xml:space="preserve">The general rule is that with respect to determining if there is a beneficiary of the trust that is not an individual (which would disqualify the trust as a Designated Beneficiary), and determining who is the oldest beneficiary, a “contingent beneficiary” must be taken into account. </w:t>
      </w:r>
    </w:p>
    <w:p w:rsidR="00DD5BC3" w:rsidRPr="00BD42F0" w:rsidRDefault="00DD5BC3" w:rsidP="00B30016">
      <w:pPr>
        <w:pStyle w:val="BodyText"/>
        <w:keepLines w:val="0"/>
        <w:numPr>
          <w:ilvl w:val="4"/>
          <w:numId w:val="21"/>
        </w:numPr>
        <w:tabs>
          <w:tab w:val="clear" w:pos="-1440"/>
          <w:tab w:val="clear" w:pos="-720"/>
          <w:tab w:val="clear" w:pos="0"/>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s>
        <w:spacing w:line="480" w:lineRule="auto"/>
        <w:ind w:left="0" w:firstLine="3600"/>
        <w:rPr>
          <w:sz w:val="28"/>
          <w:szCs w:val="28"/>
        </w:rPr>
      </w:pPr>
      <w:r w:rsidRPr="00BD42F0">
        <w:rPr>
          <w:sz w:val="28"/>
          <w:szCs w:val="28"/>
        </w:rPr>
        <w:t xml:space="preserve">The second rule provides that, a person will not be considered a beneficiary for purposes of determining who is the beneficiary with the shortest life expectancy, or whether a person who is not an individual is a beneficiary, merely because the person could become the successor to the interest of one of the employee’s beneficiaries after that beneficiary’s death. However, the preceding sentence does not apply to a person who has any right (including a contingent right) to an employee’s benefit beyond being a mere potential successor to the interest of one of the employee’s beneficiaries upon that beneficiary’s death. </w:t>
      </w:r>
    </w:p>
    <w:p w:rsidR="00DD5BC3" w:rsidRDefault="00DD5BC3" w:rsidP="00B30016">
      <w:pPr>
        <w:pStyle w:val="BodyText"/>
        <w:keepLines w:val="0"/>
        <w:numPr>
          <w:ilvl w:val="1"/>
          <w:numId w:val="21"/>
        </w:numPr>
        <w:tabs>
          <w:tab w:val="clear" w:pos="720"/>
          <w:tab w:val="clear" w:pos="1440"/>
          <w:tab w:val="clear" w:pos="2160"/>
          <w:tab w:val="clear" w:pos="2520"/>
          <w:tab w:val="num" w:pos="2880"/>
        </w:tabs>
        <w:spacing w:line="480" w:lineRule="auto"/>
        <w:ind w:left="0" w:firstLine="2880"/>
        <w:rPr>
          <w:sz w:val="28"/>
          <w:szCs w:val="28"/>
        </w:rPr>
      </w:pPr>
      <w:r w:rsidRPr="00BD42F0">
        <w:rPr>
          <w:sz w:val="28"/>
          <w:szCs w:val="28"/>
        </w:rPr>
        <w:lastRenderedPageBreak/>
        <w:t xml:space="preserve">This rather unhelpful regulation tells us that a “contingent beneficiary” must be taken into account, but a “mere potential successor” beneficiary can be ignored.  However, it does not bother to define these terms! </w:t>
      </w:r>
    </w:p>
    <w:p w:rsidR="00DD5BC3" w:rsidRPr="00BD42F0" w:rsidRDefault="00DD5BC3" w:rsidP="00B30016">
      <w:pPr>
        <w:pStyle w:val="BodyText"/>
        <w:keepLines w:val="0"/>
        <w:numPr>
          <w:ilvl w:val="1"/>
          <w:numId w:val="21"/>
        </w:numPr>
        <w:tabs>
          <w:tab w:val="clear" w:pos="720"/>
          <w:tab w:val="clear" w:pos="1440"/>
          <w:tab w:val="clear" w:pos="2160"/>
          <w:tab w:val="clear" w:pos="2520"/>
          <w:tab w:val="clear" w:pos="2880"/>
        </w:tabs>
        <w:spacing w:line="480" w:lineRule="auto"/>
        <w:ind w:left="0" w:firstLine="2880"/>
        <w:rPr>
          <w:sz w:val="28"/>
          <w:szCs w:val="28"/>
        </w:rPr>
      </w:pPr>
      <w:r>
        <w:rPr>
          <w:sz w:val="28"/>
          <w:szCs w:val="28"/>
        </w:rPr>
        <w:t xml:space="preserve">ACTEC has requested a revenue ruling on this issue on five occasions, the most recent query being made </w:t>
      </w:r>
      <w:r w:rsidR="007067E3">
        <w:rPr>
          <w:sz w:val="28"/>
          <w:szCs w:val="28"/>
        </w:rPr>
        <w:t>last</w:t>
      </w:r>
      <w:r>
        <w:rPr>
          <w:sz w:val="28"/>
          <w:szCs w:val="28"/>
        </w:rPr>
        <w:t xml:space="preserve"> summer.  Stay tuned!</w:t>
      </w:r>
    </w:p>
    <w:p w:rsidR="00DD5BC3" w:rsidRPr="00AC3E0F" w:rsidRDefault="00DD5BC3" w:rsidP="00AC3E0F">
      <w:pPr>
        <w:pStyle w:val="ListParagraph"/>
        <w:numPr>
          <w:ilvl w:val="1"/>
          <w:numId w:val="21"/>
        </w:numPr>
        <w:tabs>
          <w:tab w:val="clear" w:pos="2520"/>
        </w:tabs>
        <w:spacing w:after="0" w:line="480" w:lineRule="auto"/>
        <w:ind w:left="0" w:firstLine="2880"/>
        <w:jc w:val="both"/>
        <w:rPr>
          <w:rFonts w:ascii="Times New Roman" w:hAnsi="Times New Roman" w:cs="Times New Roman"/>
          <w:sz w:val="28"/>
          <w:szCs w:val="28"/>
        </w:rPr>
      </w:pPr>
      <w:r w:rsidRPr="00AC3E0F">
        <w:rPr>
          <w:rFonts w:ascii="Times New Roman" w:hAnsi="Times New Roman" w:cs="Times New Roman"/>
          <w:sz w:val="28"/>
          <w:szCs w:val="28"/>
        </w:rPr>
        <w:t xml:space="preserve">Recent private IRS letter rulings have not been terribly helpful in providing additional guidance as to which contingent remainder beneficiaries can be ignored.  </w:t>
      </w:r>
    </w:p>
    <w:p w:rsidR="00DD5BC3" w:rsidRPr="00BD42F0" w:rsidRDefault="00DD5BC3" w:rsidP="00B30016">
      <w:pPr>
        <w:widowControl/>
        <w:spacing w:after="0" w:line="480" w:lineRule="auto"/>
        <w:ind w:firstLine="3600"/>
        <w:jc w:val="both"/>
        <w:rPr>
          <w:rFonts w:ascii="Times New Roman" w:hAnsi="Times New Roman" w:cs="Times New Roman"/>
          <w:sz w:val="28"/>
          <w:szCs w:val="28"/>
        </w:rPr>
      </w:pPr>
      <w:r w:rsidRPr="00BD42F0">
        <w:rPr>
          <w:rFonts w:ascii="Times New Roman" w:hAnsi="Times New Roman" w:cs="Times New Roman"/>
          <w:sz w:val="28"/>
          <w:szCs w:val="28"/>
        </w:rPr>
        <w:t>(1)</w:t>
      </w:r>
      <w:r w:rsidRPr="00BD42F0">
        <w:rPr>
          <w:rFonts w:ascii="Times New Roman" w:hAnsi="Times New Roman" w:cs="Times New Roman"/>
          <w:sz w:val="28"/>
          <w:szCs w:val="28"/>
        </w:rPr>
        <w:tab/>
        <w:t xml:space="preserve">Under the IRS’s analysis in these rulings, if a trust is to distribute the assets </w:t>
      </w:r>
      <w:r w:rsidRPr="00BD42F0">
        <w:rPr>
          <w:rFonts w:ascii="Times New Roman" w:hAnsi="Times New Roman" w:cs="Times New Roman"/>
          <w:sz w:val="28"/>
          <w:szCs w:val="28"/>
          <w:u w:val="single"/>
        </w:rPr>
        <w:t>outright</w:t>
      </w:r>
      <w:r w:rsidRPr="00BD42F0">
        <w:rPr>
          <w:rFonts w:ascii="Times New Roman" w:hAnsi="Times New Roman" w:cs="Times New Roman"/>
          <w:sz w:val="28"/>
          <w:szCs w:val="28"/>
        </w:rPr>
        <w:t xml:space="preserve"> to a beneficiary upon a life income beneficiary’s death, then the only remainder beneficiaries that must be counted are the individuals that would receive those assets, </w:t>
      </w:r>
      <w:r w:rsidRPr="00BD42F0">
        <w:rPr>
          <w:rFonts w:ascii="Times New Roman" w:hAnsi="Times New Roman" w:cs="Times New Roman"/>
          <w:sz w:val="28"/>
          <w:szCs w:val="28"/>
          <w:u w:val="single"/>
        </w:rPr>
        <w:t>provided</w:t>
      </w:r>
      <w:r w:rsidRPr="00BD42F0">
        <w:rPr>
          <w:rFonts w:ascii="Times New Roman" w:hAnsi="Times New Roman" w:cs="Times New Roman"/>
          <w:sz w:val="28"/>
          <w:szCs w:val="28"/>
        </w:rPr>
        <w:t xml:space="preserve"> those individuals are alive on the taxpayer’s death and they have already attained the required age to receive the assets outright.  </w:t>
      </w:r>
    </w:p>
    <w:p w:rsidR="00DD5BC3" w:rsidRPr="00BD42F0" w:rsidRDefault="00DD5BC3" w:rsidP="00B30016">
      <w:pPr>
        <w:pStyle w:val="ListParagraph"/>
        <w:widowControl/>
        <w:spacing w:after="0" w:line="480" w:lineRule="auto"/>
        <w:ind w:left="0" w:firstLine="360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BD42F0">
        <w:rPr>
          <w:rFonts w:ascii="Times New Roman" w:hAnsi="Times New Roman" w:cs="Times New Roman"/>
          <w:sz w:val="28"/>
          <w:szCs w:val="28"/>
        </w:rPr>
        <w:t xml:space="preserve">This ruling is not helpful to dynasty trusts or lifetime trusts with periodic principal distributions or withdrawal rights, as the beneficiary may never be required to take outright ownership of the trust assets. </w:t>
      </w:r>
    </w:p>
    <w:p w:rsidR="00B83EC0" w:rsidRDefault="00B83EC0" w:rsidP="00B83EC0">
      <w:pPr>
        <w:pStyle w:val="ListParagraph"/>
        <w:numPr>
          <w:ilvl w:val="1"/>
          <w:numId w:val="21"/>
        </w:numPr>
        <w:tabs>
          <w:tab w:val="clear" w:pos="2520"/>
        </w:tabs>
        <w:spacing w:after="0" w:line="480" w:lineRule="auto"/>
        <w:ind w:left="0" w:firstLine="2880"/>
        <w:jc w:val="both"/>
        <w:rPr>
          <w:rFonts w:ascii="Times New Roman" w:hAnsi="Times New Roman" w:cs="Times New Roman"/>
          <w:sz w:val="28"/>
          <w:szCs w:val="28"/>
        </w:rPr>
      </w:pPr>
      <w:r>
        <w:rPr>
          <w:rFonts w:ascii="Times New Roman" w:hAnsi="Times New Roman" w:cs="Times New Roman"/>
          <w:sz w:val="28"/>
          <w:szCs w:val="28"/>
        </w:rPr>
        <w:t>PLR 201633025, published in mid-August of 2016, sheds very important light on the IRS’ current thinking on this issue.</w:t>
      </w:r>
    </w:p>
    <w:p w:rsidR="00B83EC0" w:rsidRDefault="00032F42" w:rsidP="00032F42">
      <w:pPr>
        <w:pStyle w:val="ListParagraph"/>
        <w:numPr>
          <w:ilvl w:val="2"/>
          <w:numId w:val="21"/>
        </w:numPr>
        <w:tabs>
          <w:tab w:val="clear" w:pos="3240"/>
        </w:tabs>
        <w:spacing w:after="0" w:line="480" w:lineRule="auto"/>
        <w:ind w:left="0" w:firstLine="3960"/>
        <w:jc w:val="both"/>
        <w:rPr>
          <w:rFonts w:ascii="Times New Roman" w:hAnsi="Times New Roman" w:cs="Times New Roman"/>
          <w:sz w:val="28"/>
          <w:szCs w:val="28"/>
        </w:rPr>
      </w:pPr>
      <w:r>
        <w:rPr>
          <w:rFonts w:ascii="Times New Roman" w:hAnsi="Times New Roman" w:cs="Times New Roman"/>
          <w:sz w:val="28"/>
          <w:szCs w:val="28"/>
        </w:rPr>
        <w:lastRenderedPageBreak/>
        <w:t>In this ruling, a trust was named as beneficiary of an IRA.  Under the terms of the trust, the Trustee is to distribute all of the net income of the trust to the decedent’s child, and the trustee also has discretion to make principal distributions to the child or the child’s issue for health, education</w:t>
      </w:r>
      <w:r w:rsidR="00A5089D">
        <w:rPr>
          <w:rFonts w:ascii="Times New Roman" w:hAnsi="Times New Roman" w:cs="Times New Roman"/>
          <w:sz w:val="28"/>
          <w:szCs w:val="28"/>
        </w:rPr>
        <w:t>, support or maintenance.  When the child attains age fifty (50), the trust will terminate and all remaining income and principal will be distributed to the child.</w:t>
      </w:r>
    </w:p>
    <w:p w:rsidR="00474EDC" w:rsidRDefault="00474EDC" w:rsidP="00032F42">
      <w:pPr>
        <w:pStyle w:val="ListParagraph"/>
        <w:numPr>
          <w:ilvl w:val="2"/>
          <w:numId w:val="21"/>
        </w:numPr>
        <w:tabs>
          <w:tab w:val="clear" w:pos="3240"/>
        </w:tabs>
        <w:spacing w:after="0" w:line="480" w:lineRule="auto"/>
        <w:ind w:left="0" w:firstLine="3960"/>
        <w:jc w:val="both"/>
        <w:rPr>
          <w:rFonts w:ascii="Times New Roman" w:hAnsi="Times New Roman" w:cs="Times New Roman"/>
          <w:sz w:val="28"/>
          <w:szCs w:val="28"/>
        </w:rPr>
      </w:pPr>
      <w:r>
        <w:rPr>
          <w:rFonts w:ascii="Times New Roman" w:hAnsi="Times New Roman" w:cs="Times New Roman"/>
          <w:sz w:val="28"/>
          <w:szCs w:val="28"/>
        </w:rPr>
        <w:t xml:space="preserve">If the child dies prior to attaining age fifty (50), the trust provided that the trust will terminate and will be distributed to the children of the child.  If the child and all of the child’s issue are deceased prior to the final distribution of the trust assets, the trustee shall distribute the remaining trust assets to the decedent’s siblings.  If the child, all the child’s issue, and the decedent’s siblings are all </w:t>
      </w:r>
      <w:r w:rsidR="00E84C72">
        <w:rPr>
          <w:rFonts w:ascii="Times New Roman" w:hAnsi="Times New Roman" w:cs="Times New Roman"/>
          <w:sz w:val="28"/>
          <w:szCs w:val="28"/>
        </w:rPr>
        <w:t xml:space="preserve">then </w:t>
      </w:r>
      <w:r>
        <w:rPr>
          <w:rFonts w:ascii="Times New Roman" w:hAnsi="Times New Roman" w:cs="Times New Roman"/>
          <w:sz w:val="28"/>
          <w:szCs w:val="28"/>
        </w:rPr>
        <w:t>deceased, then the rest of the trust shall be distributed to various charitable organizations.</w:t>
      </w:r>
    </w:p>
    <w:p w:rsidR="00474EDC" w:rsidRPr="00AC3E0F" w:rsidRDefault="00474EDC" w:rsidP="00032F42">
      <w:pPr>
        <w:pStyle w:val="ListParagraph"/>
        <w:numPr>
          <w:ilvl w:val="2"/>
          <w:numId w:val="21"/>
        </w:numPr>
        <w:tabs>
          <w:tab w:val="clear" w:pos="3240"/>
        </w:tabs>
        <w:spacing w:after="0" w:line="480" w:lineRule="auto"/>
        <w:ind w:left="0" w:firstLine="3960"/>
        <w:jc w:val="both"/>
        <w:rPr>
          <w:rFonts w:ascii="Times New Roman" w:hAnsi="Times New Roman" w:cs="Times New Roman"/>
          <w:sz w:val="28"/>
          <w:szCs w:val="28"/>
        </w:rPr>
      </w:pPr>
      <w:r>
        <w:rPr>
          <w:rFonts w:ascii="Times New Roman" w:hAnsi="Times New Roman" w:cs="Times New Roman"/>
          <w:sz w:val="28"/>
          <w:szCs w:val="28"/>
        </w:rPr>
        <w:t xml:space="preserve">The IRS ruled that the only beneficiaries which must be taken into account are the child and </w:t>
      </w:r>
      <w:r w:rsidR="00FD175B">
        <w:rPr>
          <w:rFonts w:ascii="Times New Roman" w:hAnsi="Times New Roman" w:cs="Times New Roman"/>
          <w:sz w:val="28"/>
          <w:szCs w:val="28"/>
        </w:rPr>
        <w:t xml:space="preserve">the child’s children for purposes of determining whether the trust qualifies as a </w:t>
      </w:r>
      <w:r w:rsidR="00E84C72">
        <w:rPr>
          <w:rFonts w:ascii="Times New Roman" w:hAnsi="Times New Roman" w:cs="Times New Roman"/>
          <w:sz w:val="28"/>
          <w:szCs w:val="28"/>
        </w:rPr>
        <w:t>“</w:t>
      </w:r>
      <w:r w:rsidR="00FD175B">
        <w:rPr>
          <w:rFonts w:ascii="Times New Roman" w:hAnsi="Times New Roman" w:cs="Times New Roman"/>
          <w:sz w:val="28"/>
          <w:szCs w:val="28"/>
        </w:rPr>
        <w:t>Designated Beneficiary</w:t>
      </w:r>
      <w:r w:rsidR="00E84C72">
        <w:rPr>
          <w:rFonts w:ascii="Times New Roman" w:hAnsi="Times New Roman" w:cs="Times New Roman"/>
          <w:sz w:val="28"/>
          <w:szCs w:val="28"/>
        </w:rPr>
        <w:t>” for RMD purposes</w:t>
      </w:r>
      <w:r w:rsidR="00FD175B">
        <w:rPr>
          <w:rFonts w:ascii="Times New Roman" w:hAnsi="Times New Roman" w:cs="Times New Roman"/>
          <w:sz w:val="28"/>
          <w:szCs w:val="28"/>
        </w:rPr>
        <w:t xml:space="preserve">.  Therefore, the trust qualified as a “see-through” trust and the trust </w:t>
      </w:r>
      <w:r w:rsidR="00072718">
        <w:rPr>
          <w:rFonts w:ascii="Times New Roman" w:hAnsi="Times New Roman" w:cs="Times New Roman"/>
          <w:sz w:val="28"/>
          <w:szCs w:val="28"/>
        </w:rPr>
        <w:t xml:space="preserve">may receive minimum distributions after the owner’s death </w:t>
      </w:r>
      <w:r w:rsidR="00FD175B">
        <w:rPr>
          <w:rFonts w:ascii="Times New Roman" w:hAnsi="Times New Roman" w:cs="Times New Roman"/>
          <w:sz w:val="28"/>
          <w:szCs w:val="28"/>
        </w:rPr>
        <w:t xml:space="preserve">based on the child’s life </w:t>
      </w:r>
      <w:r w:rsidR="00AB4331">
        <w:rPr>
          <w:rFonts w:ascii="Times New Roman" w:hAnsi="Times New Roman" w:cs="Times New Roman"/>
          <w:sz w:val="28"/>
          <w:szCs w:val="28"/>
        </w:rPr>
        <w:t>expectancy</w:t>
      </w:r>
      <w:r w:rsidR="00FD175B">
        <w:rPr>
          <w:rFonts w:ascii="Times New Roman" w:hAnsi="Times New Roman" w:cs="Times New Roman"/>
          <w:sz w:val="28"/>
          <w:szCs w:val="28"/>
        </w:rPr>
        <w:t>.  All other potential recipients of the trust were deemed to be mere potential successors!</w:t>
      </w:r>
    </w:p>
    <w:p w:rsidR="00DD5BC3" w:rsidRPr="00BD42F0" w:rsidRDefault="00AB4331" w:rsidP="00E84C72">
      <w:pPr>
        <w:keepNext/>
        <w:keepLines/>
        <w:spacing w:after="0" w:line="480" w:lineRule="auto"/>
        <w:ind w:firstLine="2880"/>
        <w:jc w:val="both"/>
        <w:rPr>
          <w:rFonts w:ascii="Times New Roman" w:hAnsi="Times New Roman" w:cs="Times New Roman"/>
          <w:sz w:val="28"/>
          <w:szCs w:val="28"/>
        </w:rPr>
      </w:pPr>
      <w:r>
        <w:rPr>
          <w:rFonts w:ascii="Times New Roman" w:hAnsi="Times New Roman" w:cs="Times New Roman"/>
          <w:sz w:val="28"/>
          <w:szCs w:val="28"/>
        </w:rPr>
        <w:lastRenderedPageBreak/>
        <w:t>g</w:t>
      </w:r>
      <w:r w:rsidR="00B83EC0">
        <w:rPr>
          <w:rFonts w:ascii="Times New Roman" w:hAnsi="Times New Roman" w:cs="Times New Roman"/>
          <w:sz w:val="28"/>
          <w:szCs w:val="28"/>
        </w:rPr>
        <w:t>.</w:t>
      </w:r>
      <w:r w:rsidR="00B83EC0">
        <w:rPr>
          <w:rFonts w:ascii="Times New Roman" w:hAnsi="Times New Roman" w:cs="Times New Roman"/>
          <w:sz w:val="28"/>
          <w:szCs w:val="28"/>
        </w:rPr>
        <w:tab/>
      </w:r>
      <w:r w:rsidR="00DD5BC3" w:rsidRPr="00BD42F0">
        <w:rPr>
          <w:rFonts w:ascii="Times New Roman" w:hAnsi="Times New Roman" w:cs="Times New Roman"/>
          <w:sz w:val="28"/>
          <w:szCs w:val="28"/>
        </w:rPr>
        <w:t xml:space="preserve">In informal conversations with some of my colleagues, the IRS representative who has been writing many of the above-described private letter rulings over the years made a few observations in this regard.  </w:t>
      </w:r>
    </w:p>
    <w:p w:rsidR="00DD5BC3" w:rsidRPr="00BD42F0" w:rsidRDefault="00DD5BC3" w:rsidP="00B30016">
      <w:pPr>
        <w:pStyle w:val="ListParagraph"/>
        <w:widowControl/>
        <w:numPr>
          <w:ilvl w:val="0"/>
          <w:numId w:val="46"/>
        </w:numPr>
        <w:tabs>
          <w:tab w:val="clear" w:pos="2880"/>
        </w:tabs>
        <w:spacing w:after="0" w:line="480" w:lineRule="auto"/>
        <w:ind w:left="0" w:firstLine="3600"/>
        <w:jc w:val="both"/>
        <w:rPr>
          <w:rFonts w:ascii="Times New Roman" w:hAnsi="Times New Roman" w:cs="Times New Roman"/>
          <w:sz w:val="28"/>
          <w:szCs w:val="28"/>
        </w:rPr>
      </w:pPr>
      <w:r w:rsidRPr="00BD42F0">
        <w:rPr>
          <w:rFonts w:ascii="Times New Roman" w:hAnsi="Times New Roman" w:cs="Times New Roman"/>
          <w:sz w:val="28"/>
          <w:szCs w:val="28"/>
        </w:rPr>
        <w:t>For example, in a trust share created for a minor, which terminates and fully distributes at a stated age which the minor has not attained as of the Determination Date (i.e., the 9/30 date), then the "first tier remaindermen" who would take if the minor died on that Determination Date must be taken into account.</w:t>
      </w:r>
    </w:p>
    <w:p w:rsidR="00DD5BC3" w:rsidRPr="00BD42F0" w:rsidRDefault="00DD5BC3" w:rsidP="00B30016">
      <w:pPr>
        <w:pStyle w:val="ListParagraph"/>
        <w:widowControl/>
        <w:numPr>
          <w:ilvl w:val="0"/>
          <w:numId w:val="46"/>
        </w:numPr>
        <w:tabs>
          <w:tab w:val="clear" w:pos="2880"/>
        </w:tabs>
        <w:spacing w:after="0" w:line="480" w:lineRule="auto"/>
        <w:ind w:left="0" w:firstLine="3600"/>
        <w:jc w:val="both"/>
        <w:rPr>
          <w:rFonts w:ascii="Times New Roman" w:hAnsi="Times New Roman" w:cs="Times New Roman"/>
          <w:sz w:val="28"/>
          <w:szCs w:val="28"/>
        </w:rPr>
      </w:pPr>
      <w:r w:rsidRPr="00BD42F0">
        <w:rPr>
          <w:rFonts w:ascii="Times New Roman" w:hAnsi="Times New Roman" w:cs="Times New Roman"/>
          <w:sz w:val="28"/>
          <w:szCs w:val="28"/>
        </w:rPr>
        <w:t>In a trust for a surviving spouse's life, which terminates at spouse's death, the beneficiaries to be taken into account are the spouse and the remaindermen who would take if the spouse died on the Determination Date.  However, if the trust continues after the spouse's death, then additional contingent beneficiaries must be taken into account.</w:t>
      </w:r>
    </w:p>
    <w:p w:rsidR="00DD5BC3" w:rsidRPr="00BD42F0" w:rsidRDefault="00DD5BC3" w:rsidP="00B30016">
      <w:pPr>
        <w:widowControl/>
        <w:numPr>
          <w:ilvl w:val="0"/>
          <w:numId w:val="46"/>
        </w:numPr>
        <w:tabs>
          <w:tab w:val="clear" w:pos="2880"/>
        </w:tabs>
        <w:spacing w:after="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t>What about a trust with a power of appointment?</w:t>
      </w:r>
    </w:p>
    <w:p w:rsidR="00DD5BC3" w:rsidRPr="00EC4DDA" w:rsidRDefault="00DD5BC3" w:rsidP="00EC4DDA">
      <w:pPr>
        <w:pStyle w:val="ListParagraph"/>
        <w:widowControl/>
        <w:numPr>
          <w:ilvl w:val="1"/>
          <w:numId w:val="46"/>
        </w:numPr>
        <w:tabs>
          <w:tab w:val="clear" w:pos="4320"/>
        </w:tabs>
        <w:spacing w:after="0" w:line="480" w:lineRule="auto"/>
        <w:ind w:left="0" w:firstLine="3600"/>
        <w:jc w:val="both"/>
        <w:rPr>
          <w:rFonts w:ascii="Times New Roman" w:hAnsi="Times New Roman" w:cs="Times New Roman"/>
          <w:sz w:val="28"/>
          <w:szCs w:val="28"/>
        </w:rPr>
      </w:pPr>
      <w:r w:rsidRPr="00EC4DDA">
        <w:rPr>
          <w:rFonts w:ascii="Times New Roman" w:hAnsi="Times New Roman" w:cs="Times New Roman"/>
          <w:sz w:val="28"/>
          <w:szCs w:val="28"/>
        </w:rPr>
        <w:t>If it is a general power of appointment, there will be no Designated Beneficiary, per this IRS representative!</w:t>
      </w:r>
    </w:p>
    <w:p w:rsidR="00DD5BC3" w:rsidRPr="00BD42F0" w:rsidRDefault="00DD5BC3" w:rsidP="00EC4DDA">
      <w:pPr>
        <w:widowControl/>
        <w:numPr>
          <w:ilvl w:val="1"/>
          <w:numId w:val="46"/>
        </w:numPr>
        <w:tabs>
          <w:tab w:val="clear" w:pos="4320"/>
        </w:tabs>
        <w:spacing w:after="0" w:line="480" w:lineRule="auto"/>
        <w:ind w:left="0" w:firstLine="3600"/>
        <w:jc w:val="both"/>
        <w:rPr>
          <w:rFonts w:ascii="Times New Roman" w:hAnsi="Times New Roman" w:cs="Times New Roman"/>
          <w:sz w:val="28"/>
          <w:szCs w:val="28"/>
        </w:rPr>
      </w:pPr>
      <w:r w:rsidRPr="00BD42F0">
        <w:rPr>
          <w:rFonts w:ascii="Times New Roman" w:hAnsi="Times New Roman" w:cs="Times New Roman"/>
          <w:sz w:val="28"/>
          <w:szCs w:val="28"/>
        </w:rPr>
        <w:t>If the permissible appointees are limited to all individuals in the world younger than the powerholder, the agent agreed that this class would be "identifiable" and Designated Beneficiary treatment would be allowed.</w:t>
      </w:r>
    </w:p>
    <w:p w:rsidR="00DD5BC3" w:rsidRPr="00BD42F0" w:rsidRDefault="00DD5BC3" w:rsidP="00CF0147">
      <w:pPr>
        <w:spacing w:after="0" w:line="480" w:lineRule="auto"/>
        <w:ind w:firstLine="1440"/>
        <w:jc w:val="both"/>
        <w:rPr>
          <w:rFonts w:ascii="Times New Roman" w:hAnsi="Times New Roman" w:cs="Times New Roman"/>
          <w:sz w:val="28"/>
          <w:szCs w:val="28"/>
        </w:rPr>
      </w:pPr>
      <w:r>
        <w:rPr>
          <w:rFonts w:ascii="Times New Roman" w:hAnsi="Times New Roman" w:cs="Times New Roman"/>
          <w:sz w:val="28"/>
          <w:szCs w:val="28"/>
        </w:rPr>
        <w:lastRenderedPageBreak/>
        <w:t>C</w:t>
      </w:r>
      <w:r w:rsidRPr="00BD42F0">
        <w:rPr>
          <w:rFonts w:ascii="Times New Roman" w:hAnsi="Times New Roman" w:cs="Times New Roman"/>
          <w:sz w:val="28"/>
          <w:szCs w:val="28"/>
        </w:rPr>
        <w:t>.</w:t>
      </w:r>
      <w:r w:rsidRPr="00BD42F0">
        <w:rPr>
          <w:rFonts w:ascii="Times New Roman" w:hAnsi="Times New Roman" w:cs="Times New Roman"/>
          <w:sz w:val="28"/>
          <w:szCs w:val="28"/>
        </w:rPr>
        <w:tab/>
        <w:t>“Conduit Trusts”</w:t>
      </w:r>
    </w:p>
    <w:p w:rsidR="00DD5BC3" w:rsidRPr="00BD42F0" w:rsidRDefault="00DD5BC3" w:rsidP="00E35818">
      <w:pPr>
        <w:spacing w:after="0" w:line="480" w:lineRule="auto"/>
        <w:ind w:firstLine="2160"/>
        <w:jc w:val="both"/>
        <w:rPr>
          <w:rFonts w:ascii="Times New Roman" w:hAnsi="Times New Roman" w:cs="Times New Roman"/>
          <w:sz w:val="28"/>
          <w:szCs w:val="28"/>
        </w:rPr>
      </w:pPr>
      <w:r w:rsidRPr="00BD42F0">
        <w:rPr>
          <w:rFonts w:ascii="Times New Roman" w:hAnsi="Times New Roman" w:cs="Times New Roman"/>
          <w:sz w:val="28"/>
          <w:szCs w:val="28"/>
        </w:rPr>
        <w:t>1.</w:t>
      </w:r>
      <w:r w:rsidRPr="00BD42F0">
        <w:rPr>
          <w:rFonts w:ascii="Times New Roman" w:hAnsi="Times New Roman" w:cs="Times New Roman"/>
          <w:sz w:val="28"/>
          <w:szCs w:val="28"/>
        </w:rPr>
        <w:tab/>
        <w:t xml:space="preserve">Fortunately, the </w:t>
      </w:r>
      <w:r>
        <w:rPr>
          <w:rFonts w:ascii="Times New Roman" w:hAnsi="Times New Roman" w:cs="Times New Roman"/>
          <w:sz w:val="28"/>
          <w:szCs w:val="28"/>
        </w:rPr>
        <w:t xml:space="preserve">401(a)(9) </w:t>
      </w:r>
      <w:r w:rsidRPr="00BD42F0">
        <w:rPr>
          <w:rFonts w:ascii="Times New Roman" w:hAnsi="Times New Roman" w:cs="Times New Roman"/>
          <w:sz w:val="28"/>
          <w:szCs w:val="28"/>
        </w:rPr>
        <w:t xml:space="preserve">regulations do provide a type of safe harbor trust, a “conduit trust”, where a beneficiary will be treated as a Designated Beneficiary.  </w:t>
      </w:r>
    </w:p>
    <w:p w:rsidR="00DD5BC3" w:rsidRPr="00541AD1" w:rsidRDefault="00DD5BC3" w:rsidP="00CF0147">
      <w:pPr>
        <w:pStyle w:val="ListParagraph"/>
        <w:widowControl/>
        <w:numPr>
          <w:ilvl w:val="1"/>
          <w:numId w:val="45"/>
        </w:numPr>
        <w:tabs>
          <w:tab w:val="clear" w:pos="2520"/>
        </w:tabs>
        <w:spacing w:after="0" w:line="480" w:lineRule="auto"/>
        <w:ind w:left="0" w:firstLine="2880"/>
        <w:jc w:val="both"/>
        <w:rPr>
          <w:rFonts w:ascii="Times New Roman" w:hAnsi="Times New Roman" w:cs="Times New Roman"/>
          <w:sz w:val="28"/>
          <w:szCs w:val="28"/>
        </w:rPr>
      </w:pPr>
      <w:r w:rsidRPr="00541AD1">
        <w:rPr>
          <w:rFonts w:ascii="Times New Roman" w:hAnsi="Times New Roman" w:cs="Times New Roman"/>
          <w:sz w:val="28"/>
          <w:szCs w:val="28"/>
        </w:rPr>
        <w:t xml:space="preserve">A conduit trust requires the trustee to distribute all of the retirement account withdrawals to the beneficiary. </w:t>
      </w:r>
    </w:p>
    <w:p w:rsidR="00DD5BC3" w:rsidRPr="00BD42F0" w:rsidRDefault="00DD5BC3" w:rsidP="00CF0147">
      <w:pPr>
        <w:spacing w:after="0" w:line="480" w:lineRule="auto"/>
        <w:ind w:firstLine="2880"/>
        <w:jc w:val="both"/>
        <w:rPr>
          <w:rFonts w:ascii="Times New Roman" w:hAnsi="Times New Roman" w:cs="Times New Roman"/>
          <w:sz w:val="28"/>
          <w:szCs w:val="28"/>
        </w:rPr>
      </w:pPr>
      <w:r w:rsidRPr="00BD42F0">
        <w:rPr>
          <w:rFonts w:ascii="Times New Roman" w:hAnsi="Times New Roman" w:cs="Times New Roman"/>
          <w:sz w:val="28"/>
          <w:szCs w:val="28"/>
        </w:rPr>
        <w:t>b.</w:t>
      </w:r>
      <w:r w:rsidRPr="00BD42F0">
        <w:rPr>
          <w:rFonts w:ascii="Times New Roman" w:hAnsi="Times New Roman" w:cs="Times New Roman"/>
          <w:sz w:val="28"/>
          <w:szCs w:val="28"/>
        </w:rPr>
        <w:tab/>
        <w:t xml:space="preserve">The trustee may use conduit trust assets to pay expenses attributable to such assets. </w:t>
      </w:r>
    </w:p>
    <w:p w:rsidR="00DD5BC3" w:rsidRPr="00BD42F0" w:rsidRDefault="00DD5BC3" w:rsidP="00CF0147">
      <w:pPr>
        <w:spacing w:after="0" w:line="480" w:lineRule="auto"/>
        <w:ind w:firstLine="2880"/>
        <w:jc w:val="both"/>
        <w:rPr>
          <w:rFonts w:ascii="Times New Roman" w:hAnsi="Times New Roman" w:cs="Times New Roman"/>
          <w:sz w:val="28"/>
          <w:szCs w:val="28"/>
        </w:rPr>
      </w:pPr>
      <w:r w:rsidRPr="00BD42F0">
        <w:rPr>
          <w:rFonts w:ascii="Times New Roman" w:hAnsi="Times New Roman" w:cs="Times New Roman"/>
          <w:sz w:val="28"/>
          <w:szCs w:val="28"/>
        </w:rPr>
        <w:t>c.</w:t>
      </w:r>
      <w:r w:rsidRPr="00BD42F0">
        <w:rPr>
          <w:rFonts w:ascii="Times New Roman" w:hAnsi="Times New Roman" w:cs="Times New Roman"/>
          <w:sz w:val="28"/>
          <w:szCs w:val="28"/>
        </w:rPr>
        <w:tab/>
        <w:t xml:space="preserve">As the trust may not accumulate any assets withdrawn from the retirement account, the IRS allows the trust beneficiary to be treated as the oldest beneficiary of the retirement account. </w:t>
      </w:r>
    </w:p>
    <w:p w:rsidR="00DD5BC3" w:rsidRPr="00BD42F0" w:rsidRDefault="00DD5BC3" w:rsidP="00E35818">
      <w:pPr>
        <w:spacing w:after="0" w:line="480" w:lineRule="auto"/>
        <w:ind w:firstLine="2160"/>
        <w:jc w:val="both"/>
        <w:rPr>
          <w:rFonts w:ascii="Times New Roman" w:hAnsi="Times New Roman" w:cs="Times New Roman"/>
          <w:sz w:val="28"/>
          <w:szCs w:val="28"/>
        </w:rPr>
      </w:pPr>
      <w:r w:rsidRPr="00BD42F0">
        <w:rPr>
          <w:rFonts w:ascii="Times New Roman" w:hAnsi="Times New Roman" w:cs="Times New Roman"/>
          <w:sz w:val="28"/>
          <w:szCs w:val="28"/>
        </w:rPr>
        <w:t>2.</w:t>
      </w:r>
      <w:r w:rsidRPr="00BD42F0">
        <w:rPr>
          <w:rFonts w:ascii="Times New Roman" w:hAnsi="Times New Roman" w:cs="Times New Roman"/>
          <w:sz w:val="28"/>
          <w:szCs w:val="28"/>
        </w:rPr>
        <w:tab/>
        <w:t xml:space="preserve">Although conduit trusts have the advantage of certainty as they are specifically described in the treasury regulations, they also have a major disadvantage. </w:t>
      </w:r>
    </w:p>
    <w:p w:rsidR="00DD5BC3" w:rsidRPr="00BD42F0" w:rsidRDefault="00DD5BC3" w:rsidP="00CF0147">
      <w:pPr>
        <w:widowControl/>
        <w:numPr>
          <w:ilvl w:val="0"/>
          <w:numId w:val="47"/>
        </w:numPr>
        <w:tabs>
          <w:tab w:val="clear" w:pos="1800"/>
        </w:tabs>
        <w:spacing w:after="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t xml:space="preserve">A conduit trust cannot withdraw retirement account proceeds and accumulate them inside of the trust. </w:t>
      </w:r>
    </w:p>
    <w:p w:rsidR="00DD5BC3" w:rsidRPr="00BD42F0" w:rsidRDefault="00DD5BC3" w:rsidP="00CF0147">
      <w:pPr>
        <w:widowControl/>
        <w:numPr>
          <w:ilvl w:val="0"/>
          <w:numId w:val="47"/>
        </w:numPr>
        <w:tabs>
          <w:tab w:val="clear" w:pos="1800"/>
        </w:tabs>
        <w:spacing w:after="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t xml:space="preserve">This is often contrary to the intent of the client, who may be using a trust to prevent the retirement account assets from being distributed to the beneficiary for one reason or another. </w:t>
      </w:r>
    </w:p>
    <w:p w:rsidR="00DD5BC3" w:rsidRPr="00BD42F0" w:rsidRDefault="00DD5BC3" w:rsidP="00CF0147">
      <w:pPr>
        <w:spacing w:after="0" w:line="480" w:lineRule="auto"/>
        <w:ind w:firstLine="1440"/>
        <w:jc w:val="both"/>
        <w:rPr>
          <w:rFonts w:ascii="Times New Roman" w:hAnsi="Times New Roman" w:cs="Times New Roman"/>
          <w:sz w:val="28"/>
          <w:szCs w:val="28"/>
        </w:rPr>
      </w:pPr>
      <w:r>
        <w:rPr>
          <w:rFonts w:ascii="Times New Roman" w:hAnsi="Times New Roman" w:cs="Times New Roman"/>
          <w:sz w:val="28"/>
          <w:szCs w:val="28"/>
        </w:rPr>
        <w:t>D</w:t>
      </w:r>
      <w:r w:rsidRPr="00BD42F0">
        <w:rPr>
          <w:rFonts w:ascii="Times New Roman" w:hAnsi="Times New Roman" w:cs="Times New Roman"/>
          <w:sz w:val="28"/>
          <w:szCs w:val="28"/>
        </w:rPr>
        <w:t>.</w:t>
      </w:r>
      <w:r w:rsidRPr="00BD42F0">
        <w:rPr>
          <w:rFonts w:ascii="Times New Roman" w:hAnsi="Times New Roman" w:cs="Times New Roman"/>
          <w:sz w:val="28"/>
          <w:szCs w:val="28"/>
        </w:rPr>
        <w:tab/>
        <w:t>Accumulation Trusts</w:t>
      </w:r>
    </w:p>
    <w:p w:rsidR="00DD5BC3" w:rsidRPr="00BD42F0" w:rsidRDefault="00DD5BC3" w:rsidP="00E35818">
      <w:pPr>
        <w:widowControl/>
        <w:numPr>
          <w:ilvl w:val="1"/>
          <w:numId w:val="47"/>
        </w:numPr>
        <w:tabs>
          <w:tab w:val="clear" w:pos="3600"/>
        </w:tabs>
        <w:spacing w:after="0" w:line="480" w:lineRule="auto"/>
        <w:ind w:left="0" w:firstLine="2160"/>
        <w:jc w:val="both"/>
        <w:rPr>
          <w:rFonts w:ascii="Times New Roman" w:hAnsi="Times New Roman" w:cs="Times New Roman"/>
          <w:sz w:val="28"/>
          <w:szCs w:val="28"/>
        </w:rPr>
      </w:pPr>
      <w:r w:rsidRPr="00BD42F0">
        <w:rPr>
          <w:rFonts w:ascii="Times New Roman" w:hAnsi="Times New Roman" w:cs="Times New Roman"/>
          <w:sz w:val="28"/>
          <w:szCs w:val="28"/>
        </w:rPr>
        <w:lastRenderedPageBreak/>
        <w:t xml:space="preserve">A trust that allows accumulation of retirement account withdrawals (an “Accumulation Trust”) may also qualify as a Designated Beneficiary. </w:t>
      </w:r>
    </w:p>
    <w:p w:rsidR="00DD5BC3" w:rsidRPr="00BD42F0" w:rsidRDefault="00DD5BC3" w:rsidP="00CF0147">
      <w:pPr>
        <w:widowControl/>
        <w:numPr>
          <w:ilvl w:val="0"/>
          <w:numId w:val="48"/>
        </w:numPr>
        <w:tabs>
          <w:tab w:val="clear" w:pos="2520"/>
        </w:tabs>
        <w:spacing w:after="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t xml:space="preserve">As noted above, the only IRS guidance in this area is embodied in the above-described private letter rulings. </w:t>
      </w:r>
    </w:p>
    <w:p w:rsidR="00DD5BC3" w:rsidRPr="00BD42F0" w:rsidRDefault="00DD5BC3" w:rsidP="00CF0147">
      <w:pPr>
        <w:widowControl/>
        <w:numPr>
          <w:ilvl w:val="0"/>
          <w:numId w:val="48"/>
        </w:numPr>
        <w:tabs>
          <w:tab w:val="clear" w:pos="2520"/>
        </w:tabs>
        <w:spacing w:after="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t xml:space="preserve">If a trust does not fit within such framework and is not a conduit trust, it is unclear how remote of a contingent beneficiary the IRS will take into account. </w:t>
      </w:r>
    </w:p>
    <w:p w:rsidR="00DD5BC3" w:rsidRPr="00BD42F0" w:rsidRDefault="00DD5BC3" w:rsidP="00CF0147">
      <w:pPr>
        <w:widowControl/>
        <w:numPr>
          <w:ilvl w:val="0"/>
          <w:numId w:val="48"/>
        </w:numPr>
        <w:tabs>
          <w:tab w:val="clear" w:pos="2520"/>
        </w:tabs>
        <w:spacing w:after="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t xml:space="preserve">To be safe, one must draft the trust assuming the IRS may take into account all contingent beneficiaries. Although this may be possible by adding certain savings clauses to the trust, there still is no specific guidance that this approach works. </w:t>
      </w:r>
    </w:p>
    <w:p w:rsidR="00DD5BC3" w:rsidRPr="00BD42F0" w:rsidRDefault="00DD5BC3" w:rsidP="00CF0147">
      <w:pPr>
        <w:widowControl/>
        <w:numPr>
          <w:ilvl w:val="0"/>
          <w:numId w:val="48"/>
        </w:numPr>
        <w:tabs>
          <w:tab w:val="clear" w:pos="2520"/>
        </w:tabs>
        <w:spacing w:after="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t xml:space="preserve">Obtaining a private letter ruling may provide certainty, but is expensive and time-consuming.  It appears a private letter ruling may be granted while the account owner is still living or after the account owner’s death. </w:t>
      </w:r>
    </w:p>
    <w:p w:rsidR="00DD5BC3" w:rsidRPr="00BD42F0" w:rsidRDefault="00DD5BC3" w:rsidP="00E35818">
      <w:pPr>
        <w:widowControl/>
        <w:numPr>
          <w:ilvl w:val="1"/>
          <w:numId w:val="47"/>
        </w:numPr>
        <w:tabs>
          <w:tab w:val="clear" w:pos="3600"/>
        </w:tabs>
        <w:spacing w:after="0" w:line="480" w:lineRule="auto"/>
        <w:ind w:left="0" w:firstLine="2160"/>
        <w:jc w:val="both"/>
        <w:rPr>
          <w:rFonts w:ascii="Times New Roman" w:hAnsi="Times New Roman" w:cs="Times New Roman"/>
          <w:sz w:val="28"/>
          <w:szCs w:val="28"/>
        </w:rPr>
      </w:pPr>
      <w:r w:rsidRPr="00BD42F0">
        <w:rPr>
          <w:rFonts w:ascii="Times New Roman" w:hAnsi="Times New Roman" w:cs="Times New Roman"/>
          <w:sz w:val="28"/>
          <w:szCs w:val="28"/>
        </w:rPr>
        <w:t xml:space="preserve">Finally, the compressed income tax brackets of a trust lead to a significant tax cost to the usage of an accumulation trust.  </w:t>
      </w:r>
    </w:p>
    <w:p w:rsidR="00DD5BC3" w:rsidRPr="00BD42F0" w:rsidRDefault="00DD5BC3" w:rsidP="00CF0147">
      <w:pPr>
        <w:widowControl/>
        <w:numPr>
          <w:ilvl w:val="2"/>
          <w:numId w:val="47"/>
        </w:numPr>
        <w:tabs>
          <w:tab w:val="clear" w:pos="3420"/>
        </w:tabs>
        <w:spacing w:after="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t xml:space="preserve">A trust pays the highest rate of tax after the first $12,000 in income.  </w:t>
      </w:r>
    </w:p>
    <w:p w:rsidR="00DD5BC3" w:rsidRPr="00BD42F0" w:rsidRDefault="00DD5BC3" w:rsidP="00CF0147">
      <w:pPr>
        <w:widowControl/>
        <w:numPr>
          <w:ilvl w:val="2"/>
          <w:numId w:val="47"/>
        </w:numPr>
        <w:tabs>
          <w:tab w:val="clear" w:pos="3420"/>
        </w:tabs>
        <w:spacing w:after="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lastRenderedPageBreak/>
        <w:t>If significant amounts will likely be accumulated, the income tax cost is a significant detriment to consider before utilizing this type of trust.</w:t>
      </w:r>
    </w:p>
    <w:p w:rsidR="006D58C4" w:rsidRDefault="00DD5BC3" w:rsidP="00CF0147">
      <w:pPr>
        <w:spacing w:after="0" w:line="480" w:lineRule="auto"/>
        <w:ind w:firstLine="1440"/>
        <w:jc w:val="both"/>
        <w:rPr>
          <w:rFonts w:ascii="Times New Roman" w:hAnsi="Times New Roman" w:cs="Times New Roman"/>
          <w:sz w:val="28"/>
          <w:szCs w:val="28"/>
        </w:rPr>
      </w:pPr>
      <w:r>
        <w:rPr>
          <w:rFonts w:ascii="Times New Roman" w:hAnsi="Times New Roman" w:cs="Times New Roman"/>
          <w:sz w:val="28"/>
          <w:szCs w:val="28"/>
        </w:rPr>
        <w:t>E</w:t>
      </w:r>
      <w:r w:rsidRPr="00BD42F0">
        <w:rPr>
          <w:rFonts w:ascii="Times New Roman" w:hAnsi="Times New Roman" w:cs="Times New Roman"/>
          <w:sz w:val="28"/>
          <w:szCs w:val="28"/>
        </w:rPr>
        <w:t>.</w:t>
      </w:r>
      <w:r w:rsidRPr="00BD42F0">
        <w:rPr>
          <w:rFonts w:ascii="Times New Roman" w:hAnsi="Times New Roman" w:cs="Times New Roman"/>
          <w:sz w:val="28"/>
          <w:szCs w:val="28"/>
        </w:rPr>
        <w:tab/>
      </w:r>
      <w:r w:rsidR="00F82409">
        <w:rPr>
          <w:rFonts w:ascii="Times New Roman" w:hAnsi="Times New Roman" w:cs="Times New Roman"/>
          <w:sz w:val="28"/>
          <w:szCs w:val="28"/>
        </w:rPr>
        <w:t>Marital Trusts</w:t>
      </w:r>
    </w:p>
    <w:p w:rsidR="00F82409" w:rsidRPr="00FC5DE3" w:rsidRDefault="00FC5DE3" w:rsidP="006078CD">
      <w:pPr>
        <w:pStyle w:val="Work5"/>
        <w:numPr>
          <w:ilvl w:val="1"/>
          <w:numId w:val="48"/>
        </w:numPr>
        <w:tabs>
          <w:tab w:val="clear" w:pos="4320"/>
          <w:tab w:val="num" w:pos="2880"/>
        </w:tabs>
        <w:spacing w:after="0" w:line="480" w:lineRule="auto"/>
        <w:ind w:left="0" w:firstLine="2160"/>
        <w:jc w:val="both"/>
        <w:rPr>
          <w:rFonts w:cs="Times New Roman"/>
          <w:sz w:val="28"/>
          <w:szCs w:val="28"/>
        </w:rPr>
      </w:pPr>
      <w:r>
        <w:rPr>
          <w:sz w:val="28"/>
          <w:szCs w:val="28"/>
        </w:rPr>
        <w:t>We are all aware that one of the major requirements for a marital trust (either a general power of appointment trust or a QTIP trust) is that the surviving spouse be entitled all income of the Trust, at least annually.</w:t>
      </w:r>
    </w:p>
    <w:p w:rsidR="00FC5DE3" w:rsidRPr="000E48E8" w:rsidRDefault="00FC5DE3" w:rsidP="006078CD">
      <w:pPr>
        <w:pStyle w:val="Work5"/>
        <w:numPr>
          <w:ilvl w:val="1"/>
          <w:numId w:val="48"/>
        </w:numPr>
        <w:tabs>
          <w:tab w:val="clear" w:pos="4320"/>
          <w:tab w:val="num" w:pos="2880"/>
        </w:tabs>
        <w:spacing w:after="0" w:line="480" w:lineRule="auto"/>
        <w:ind w:left="0" w:firstLine="2160"/>
        <w:jc w:val="both"/>
        <w:rPr>
          <w:rFonts w:cs="Times New Roman"/>
          <w:sz w:val="28"/>
          <w:szCs w:val="28"/>
        </w:rPr>
      </w:pPr>
      <w:r>
        <w:rPr>
          <w:sz w:val="28"/>
          <w:szCs w:val="28"/>
        </w:rPr>
        <w:t xml:space="preserve">Rev. Rul. 2006-26, 2006-1 C.B. 939, considered whether the “all income” requirement of I.R.C. </w:t>
      </w:r>
      <w:r>
        <w:rPr>
          <w:rFonts w:cs="Times New Roman"/>
          <w:sz w:val="28"/>
          <w:szCs w:val="28"/>
        </w:rPr>
        <w:t>§</w:t>
      </w:r>
      <w:r>
        <w:rPr>
          <w:sz w:val="28"/>
          <w:szCs w:val="28"/>
        </w:rPr>
        <w:t xml:space="preserve">2056 and Treas. Reg. </w:t>
      </w:r>
      <w:r>
        <w:rPr>
          <w:rFonts w:cs="Times New Roman"/>
          <w:sz w:val="28"/>
          <w:szCs w:val="28"/>
        </w:rPr>
        <w:t>§§</w:t>
      </w:r>
      <w:r w:rsidR="00F729F6">
        <w:rPr>
          <w:sz w:val="28"/>
          <w:szCs w:val="28"/>
        </w:rPr>
        <w:t xml:space="preserve">20.2056(b)-5(f)(1) and 20.2056(b)-7(d)(2) was </w:t>
      </w:r>
      <w:r w:rsidR="00027106">
        <w:rPr>
          <w:sz w:val="28"/>
          <w:szCs w:val="28"/>
        </w:rPr>
        <w:t>satisfied</w:t>
      </w:r>
      <w:r w:rsidR="00F729F6">
        <w:rPr>
          <w:sz w:val="28"/>
          <w:szCs w:val="28"/>
        </w:rPr>
        <w:t xml:space="preserve"> in three fact situ</w:t>
      </w:r>
      <w:r w:rsidR="00C9355D">
        <w:rPr>
          <w:sz w:val="28"/>
          <w:szCs w:val="28"/>
        </w:rPr>
        <w:t>a</w:t>
      </w:r>
      <w:r w:rsidR="00F729F6">
        <w:rPr>
          <w:sz w:val="28"/>
          <w:szCs w:val="28"/>
        </w:rPr>
        <w:t>tions.  In each, a marital deduction trust held an IRA or a defined contribution plan.</w:t>
      </w:r>
    </w:p>
    <w:p w:rsidR="000E48E8" w:rsidRPr="00CF6B15" w:rsidRDefault="004E1417" w:rsidP="006078CD">
      <w:pPr>
        <w:pStyle w:val="Work5"/>
        <w:numPr>
          <w:ilvl w:val="4"/>
          <w:numId w:val="44"/>
        </w:numPr>
        <w:tabs>
          <w:tab w:val="clear" w:pos="3960"/>
        </w:tabs>
        <w:spacing w:after="0" w:line="480" w:lineRule="auto"/>
        <w:ind w:left="0" w:firstLine="2880"/>
        <w:jc w:val="both"/>
        <w:rPr>
          <w:rFonts w:cs="Times New Roman"/>
          <w:sz w:val="28"/>
          <w:szCs w:val="28"/>
        </w:rPr>
      </w:pPr>
      <w:r>
        <w:rPr>
          <w:sz w:val="28"/>
          <w:szCs w:val="28"/>
        </w:rPr>
        <w:t>A</w:t>
      </w:r>
      <w:r w:rsidR="000E48E8">
        <w:rPr>
          <w:sz w:val="28"/>
          <w:szCs w:val="28"/>
        </w:rPr>
        <w:t xml:space="preserve">ssuming that a QTIP marital trust was governed by the law of a state that had adopted the 1997 version </w:t>
      </w:r>
      <w:r w:rsidR="00DB09D9">
        <w:rPr>
          <w:sz w:val="28"/>
          <w:szCs w:val="28"/>
        </w:rPr>
        <w:t xml:space="preserve">of the </w:t>
      </w:r>
      <w:r>
        <w:rPr>
          <w:sz w:val="28"/>
          <w:szCs w:val="28"/>
        </w:rPr>
        <w:t>Uniform Principal &amp; Income Act (“</w:t>
      </w:r>
      <w:r w:rsidR="00DB09D9">
        <w:rPr>
          <w:sz w:val="28"/>
          <w:szCs w:val="28"/>
        </w:rPr>
        <w:t>UPIA</w:t>
      </w:r>
      <w:r>
        <w:rPr>
          <w:sz w:val="28"/>
          <w:szCs w:val="28"/>
        </w:rPr>
        <w:t>”)</w:t>
      </w:r>
      <w:r w:rsidR="00DB09D9">
        <w:rPr>
          <w:sz w:val="28"/>
          <w:szCs w:val="28"/>
        </w:rPr>
        <w:t xml:space="preserve">, the ruling concluded </w:t>
      </w:r>
      <w:r w:rsidR="00DA563B">
        <w:rPr>
          <w:sz w:val="28"/>
          <w:szCs w:val="28"/>
        </w:rPr>
        <w:t>that the trust may not meet the “all income” requirement if: (1) the trust language did not require the trustee to distribute to the spouse the greater of all the income of the IRA (considered as if the IRA were a separate trust) or the annual required minimum distribution under I.R.C.</w:t>
      </w:r>
      <w:r w:rsidR="00CF6B15">
        <w:rPr>
          <w:sz w:val="28"/>
          <w:szCs w:val="28"/>
        </w:rPr>
        <w:t xml:space="preserve"> </w:t>
      </w:r>
      <w:r w:rsidR="00CF6B15">
        <w:rPr>
          <w:rFonts w:cs="Times New Roman"/>
          <w:sz w:val="28"/>
          <w:szCs w:val="28"/>
        </w:rPr>
        <w:t>§</w:t>
      </w:r>
      <w:r w:rsidR="00CF6B15">
        <w:rPr>
          <w:sz w:val="28"/>
          <w:szCs w:val="28"/>
        </w:rPr>
        <w:t xml:space="preserve">408(a)(6), and (2) the governing law included </w:t>
      </w:r>
      <w:r w:rsidR="00CF6B15">
        <w:rPr>
          <w:rFonts w:cs="Times New Roman"/>
          <w:sz w:val="28"/>
          <w:szCs w:val="28"/>
        </w:rPr>
        <w:t>§§</w:t>
      </w:r>
      <w:r w:rsidR="00CF6B15">
        <w:rPr>
          <w:sz w:val="28"/>
          <w:szCs w:val="28"/>
        </w:rPr>
        <w:t>409(c) and (d) of the 1997 version of the UPIA.</w:t>
      </w:r>
    </w:p>
    <w:p w:rsidR="00CF6B15" w:rsidRDefault="00847028" w:rsidP="006078CD">
      <w:pPr>
        <w:pStyle w:val="Work5"/>
        <w:spacing w:line="480" w:lineRule="auto"/>
        <w:ind w:left="0" w:firstLine="3600"/>
        <w:jc w:val="both"/>
        <w:rPr>
          <w:sz w:val="28"/>
          <w:szCs w:val="28"/>
        </w:rPr>
      </w:pPr>
      <w:r>
        <w:rPr>
          <w:sz w:val="28"/>
          <w:szCs w:val="28"/>
        </w:rPr>
        <w:lastRenderedPageBreak/>
        <w:t xml:space="preserve">This was because UPIA </w:t>
      </w:r>
      <w:r>
        <w:rPr>
          <w:rFonts w:cs="Times New Roman"/>
          <w:sz w:val="28"/>
          <w:szCs w:val="28"/>
        </w:rPr>
        <w:t>§</w:t>
      </w:r>
      <w:r>
        <w:rPr>
          <w:sz w:val="28"/>
          <w:szCs w:val="28"/>
        </w:rPr>
        <w:t>409</w:t>
      </w:r>
      <w:r w:rsidR="006840DB">
        <w:rPr>
          <w:sz w:val="28"/>
          <w:szCs w:val="28"/>
        </w:rPr>
        <w:t>(c)</w:t>
      </w:r>
      <w:r>
        <w:rPr>
          <w:sz w:val="28"/>
          <w:szCs w:val="28"/>
        </w:rPr>
        <w:t xml:space="preserve"> provided that a required minimum distribution from the IRA was allocated 10 percent to income and 90 percent to principal</w:t>
      </w:r>
      <w:r w:rsidR="0079078C">
        <w:rPr>
          <w:sz w:val="28"/>
          <w:szCs w:val="28"/>
        </w:rPr>
        <w:t xml:space="preserve"> of the recipient trust</w:t>
      </w:r>
      <w:r>
        <w:rPr>
          <w:sz w:val="28"/>
          <w:szCs w:val="28"/>
        </w:rPr>
        <w:t xml:space="preserve">, whereas the </w:t>
      </w:r>
      <w:r w:rsidR="006840DB">
        <w:rPr>
          <w:sz w:val="28"/>
          <w:szCs w:val="28"/>
        </w:rPr>
        <w:t xml:space="preserve">view </w:t>
      </w:r>
      <w:r>
        <w:rPr>
          <w:sz w:val="28"/>
          <w:szCs w:val="28"/>
        </w:rPr>
        <w:t>o</w:t>
      </w:r>
      <w:r w:rsidR="006840DB">
        <w:rPr>
          <w:sz w:val="28"/>
          <w:szCs w:val="28"/>
        </w:rPr>
        <w:t>f</w:t>
      </w:r>
      <w:r>
        <w:rPr>
          <w:sz w:val="28"/>
          <w:szCs w:val="28"/>
        </w:rPr>
        <w:t xml:space="preserve"> the </w:t>
      </w:r>
      <w:r w:rsidR="0079078C">
        <w:rPr>
          <w:sz w:val="28"/>
          <w:szCs w:val="28"/>
        </w:rPr>
        <w:t xml:space="preserve">IRS </w:t>
      </w:r>
      <w:r>
        <w:rPr>
          <w:sz w:val="28"/>
          <w:szCs w:val="28"/>
        </w:rPr>
        <w:t>was that such an apportionment between principal and income was not based on the total return of the IRA and did not reflect a reasonable apportionment of the total return between income and remainder beneficiaries.</w:t>
      </w:r>
    </w:p>
    <w:p w:rsidR="00847028" w:rsidRDefault="00847028" w:rsidP="006078CD">
      <w:pPr>
        <w:pStyle w:val="Work5"/>
        <w:spacing w:line="480" w:lineRule="auto"/>
        <w:ind w:left="0" w:firstLine="3600"/>
        <w:jc w:val="both"/>
        <w:rPr>
          <w:sz w:val="28"/>
          <w:szCs w:val="28"/>
        </w:rPr>
      </w:pPr>
      <w:r>
        <w:rPr>
          <w:sz w:val="28"/>
          <w:szCs w:val="28"/>
        </w:rPr>
        <w:t xml:space="preserve">If the trust language did not require the distribution </w:t>
      </w:r>
      <w:r w:rsidR="006840DB">
        <w:rPr>
          <w:sz w:val="28"/>
          <w:szCs w:val="28"/>
        </w:rPr>
        <w:t xml:space="preserve">of at least the income of the IRA when the spouse exercised the spouse’s right to direct a withdrawal and UPIA </w:t>
      </w:r>
      <w:r w:rsidR="006840DB">
        <w:rPr>
          <w:rFonts w:cs="Times New Roman"/>
          <w:sz w:val="28"/>
          <w:szCs w:val="28"/>
        </w:rPr>
        <w:t>§</w:t>
      </w:r>
      <w:r w:rsidR="006840DB">
        <w:rPr>
          <w:sz w:val="28"/>
          <w:szCs w:val="28"/>
        </w:rPr>
        <w:t>409(c) applied, the “all income” requirement may not be satisfied, according to the ruling.</w:t>
      </w:r>
    </w:p>
    <w:p w:rsidR="00086602" w:rsidRPr="005F08F1" w:rsidRDefault="00086602" w:rsidP="006078CD">
      <w:pPr>
        <w:pStyle w:val="Work5"/>
        <w:spacing w:line="480" w:lineRule="auto"/>
        <w:ind w:left="0" w:firstLine="3600"/>
        <w:jc w:val="both"/>
        <w:rPr>
          <w:sz w:val="28"/>
          <w:szCs w:val="28"/>
        </w:rPr>
      </w:pPr>
      <w:r>
        <w:rPr>
          <w:sz w:val="28"/>
          <w:szCs w:val="28"/>
        </w:rPr>
        <w:t xml:space="preserve">Although </w:t>
      </w:r>
      <w:r>
        <w:rPr>
          <w:rFonts w:cs="Times New Roman"/>
          <w:sz w:val="28"/>
          <w:szCs w:val="28"/>
        </w:rPr>
        <w:t>§409(d) of UPIA 1997 states that a trustee must allocate a larger portio</w:t>
      </w:r>
      <w:r w:rsidR="0079078C">
        <w:rPr>
          <w:rFonts w:cs="Times New Roman"/>
          <w:sz w:val="28"/>
          <w:szCs w:val="28"/>
        </w:rPr>
        <w:t>n</w:t>
      </w:r>
      <w:r>
        <w:rPr>
          <w:rFonts w:cs="Times New Roman"/>
          <w:sz w:val="28"/>
          <w:szCs w:val="28"/>
        </w:rPr>
        <w:t xml:space="preserve"> of any distribution to income to the extent that doing so is necessary to qualify for the marital deduction, the Service in Rev. Rul. 2006-26 stated that this provision was ineffective to reform an instrument for tax purposes, analogizing the statute to a savings clause in a document that would be ineffective to reform the document for federal tax purposes.</w:t>
      </w:r>
    </w:p>
    <w:p w:rsidR="005F08F1" w:rsidRDefault="0079078C" w:rsidP="006078CD">
      <w:pPr>
        <w:pStyle w:val="Work4"/>
        <w:spacing w:line="480" w:lineRule="auto"/>
        <w:ind w:left="0" w:firstLine="2880"/>
        <w:jc w:val="both"/>
        <w:rPr>
          <w:sz w:val="28"/>
          <w:szCs w:val="28"/>
        </w:rPr>
      </w:pPr>
      <w:r>
        <w:rPr>
          <w:sz w:val="28"/>
          <w:szCs w:val="28"/>
        </w:rPr>
        <w:t>This</w:t>
      </w:r>
      <w:r w:rsidR="005F08F1">
        <w:rPr>
          <w:sz w:val="28"/>
          <w:szCs w:val="28"/>
        </w:rPr>
        <w:t xml:space="preserve"> ruling set forth a “safe harbor” that would apply if a QTIP election were made over </w:t>
      </w:r>
      <w:r w:rsidR="005F08F1" w:rsidRPr="0079078C">
        <w:rPr>
          <w:sz w:val="28"/>
          <w:szCs w:val="28"/>
          <w:u w:val="single"/>
        </w:rPr>
        <w:t>both</w:t>
      </w:r>
      <w:r w:rsidR="005F08F1">
        <w:rPr>
          <w:sz w:val="28"/>
          <w:szCs w:val="28"/>
        </w:rPr>
        <w:t xml:space="preserve"> the trust and the IRA or retirement plan and the spouse had the power exercisable annually to compel the trustee to </w:t>
      </w:r>
      <w:r w:rsidR="005F08F1">
        <w:rPr>
          <w:sz w:val="28"/>
          <w:szCs w:val="28"/>
        </w:rPr>
        <w:lastRenderedPageBreak/>
        <w:t>withdraw the income earned on the IRA or retirement plan and to distribute that income and all income earned on the other trust assets to the spouse.</w:t>
      </w:r>
    </w:p>
    <w:p w:rsidR="005F08F1" w:rsidRPr="005F08F1" w:rsidRDefault="005F08F1" w:rsidP="006078CD">
      <w:pPr>
        <w:pStyle w:val="Work4"/>
        <w:spacing w:line="480" w:lineRule="auto"/>
        <w:ind w:left="0" w:firstLine="2880"/>
        <w:jc w:val="both"/>
        <w:rPr>
          <w:sz w:val="28"/>
          <w:szCs w:val="28"/>
        </w:rPr>
      </w:pPr>
      <w:r>
        <w:rPr>
          <w:sz w:val="28"/>
          <w:szCs w:val="28"/>
        </w:rPr>
        <w:t xml:space="preserve">The ruling concluded that marital trusts governed by </w:t>
      </w:r>
      <w:r>
        <w:rPr>
          <w:rFonts w:cs="Times New Roman"/>
          <w:sz w:val="28"/>
          <w:szCs w:val="28"/>
        </w:rPr>
        <w:t>§§</w:t>
      </w:r>
      <w:r w:rsidR="00AE3523">
        <w:rPr>
          <w:sz w:val="28"/>
          <w:szCs w:val="28"/>
        </w:rPr>
        <w:t>409(c) and (d) of UPIA 1997 could not qualify for the safe harbor.</w:t>
      </w:r>
    </w:p>
    <w:p w:rsidR="00F729F6" w:rsidRPr="000E48E8" w:rsidRDefault="00F729F6" w:rsidP="006078CD">
      <w:pPr>
        <w:pStyle w:val="Work5"/>
        <w:numPr>
          <w:ilvl w:val="1"/>
          <w:numId w:val="48"/>
        </w:numPr>
        <w:tabs>
          <w:tab w:val="clear" w:pos="4320"/>
          <w:tab w:val="num" w:pos="2880"/>
        </w:tabs>
        <w:spacing w:line="480" w:lineRule="auto"/>
        <w:ind w:left="0" w:firstLine="2160"/>
        <w:jc w:val="both"/>
        <w:rPr>
          <w:rFonts w:cs="Times New Roman"/>
          <w:sz w:val="28"/>
          <w:szCs w:val="28"/>
        </w:rPr>
      </w:pPr>
      <w:r>
        <w:rPr>
          <w:sz w:val="28"/>
          <w:szCs w:val="28"/>
        </w:rPr>
        <w:t xml:space="preserve">The Uniform Law Commission considered Rev. Rul. 2006-26 and made the changes discussed below to permit trusts governed by the 2008 version of the UPIA to qualify for the </w:t>
      </w:r>
      <w:r w:rsidR="0079078C">
        <w:rPr>
          <w:sz w:val="28"/>
          <w:szCs w:val="28"/>
        </w:rPr>
        <w:t xml:space="preserve">above-described </w:t>
      </w:r>
      <w:r>
        <w:rPr>
          <w:sz w:val="28"/>
          <w:szCs w:val="28"/>
        </w:rPr>
        <w:t>safe harbor.</w:t>
      </w:r>
    </w:p>
    <w:p w:rsidR="000E48E8" w:rsidRDefault="00E32E93" w:rsidP="006078CD">
      <w:pPr>
        <w:pStyle w:val="Work5"/>
        <w:numPr>
          <w:ilvl w:val="4"/>
          <w:numId w:val="48"/>
        </w:numPr>
        <w:tabs>
          <w:tab w:val="clear" w:pos="5400"/>
        </w:tabs>
        <w:spacing w:line="480" w:lineRule="auto"/>
        <w:ind w:left="0" w:firstLine="2880"/>
        <w:jc w:val="both"/>
        <w:rPr>
          <w:rFonts w:cs="Times New Roman"/>
          <w:sz w:val="28"/>
          <w:szCs w:val="28"/>
        </w:rPr>
      </w:pPr>
      <w:r>
        <w:rPr>
          <w:rFonts w:cs="Times New Roman"/>
          <w:sz w:val="28"/>
          <w:szCs w:val="28"/>
        </w:rPr>
        <w:t>The 2008 UPIA §409 retains a 90/10 allocation for trusts other than QTIP and general power of appointment marital trusts.</w:t>
      </w:r>
    </w:p>
    <w:p w:rsidR="00E32E93" w:rsidRDefault="00E32E93" w:rsidP="006078CD">
      <w:pPr>
        <w:pStyle w:val="Work5"/>
        <w:numPr>
          <w:ilvl w:val="4"/>
          <w:numId w:val="48"/>
        </w:numPr>
        <w:tabs>
          <w:tab w:val="clear" w:pos="5400"/>
        </w:tabs>
        <w:spacing w:line="480" w:lineRule="auto"/>
        <w:ind w:left="0" w:firstLine="2880"/>
        <w:jc w:val="both"/>
        <w:rPr>
          <w:rFonts w:cs="Times New Roman"/>
          <w:sz w:val="28"/>
          <w:szCs w:val="28"/>
        </w:rPr>
      </w:pPr>
      <w:r>
        <w:rPr>
          <w:rFonts w:cs="Times New Roman"/>
          <w:sz w:val="28"/>
          <w:szCs w:val="28"/>
        </w:rPr>
        <w:t>However, for trusts intended to qualify for the estate tax marital deduction, the trustee is required to separately determine the income of each “separate</w:t>
      </w:r>
      <w:r w:rsidR="00B23924">
        <w:rPr>
          <w:rFonts w:cs="Times New Roman"/>
          <w:sz w:val="28"/>
          <w:szCs w:val="28"/>
        </w:rPr>
        <w:t xml:space="preserve"> fund” in such a trust for each accounting period.  Separate funds include annuities, IRAs, pensions, profit sharing and bonus sock funds and stock ownership plans.</w:t>
      </w:r>
    </w:p>
    <w:p w:rsidR="00B23924" w:rsidRPr="00B23924" w:rsidRDefault="00B23924" w:rsidP="006078CD">
      <w:pPr>
        <w:pStyle w:val="Work5"/>
        <w:spacing w:line="480" w:lineRule="auto"/>
        <w:ind w:left="0" w:firstLine="3600"/>
        <w:jc w:val="both"/>
        <w:rPr>
          <w:sz w:val="28"/>
          <w:szCs w:val="28"/>
        </w:rPr>
      </w:pPr>
      <w:r w:rsidRPr="00B23924">
        <w:rPr>
          <w:sz w:val="28"/>
          <w:szCs w:val="28"/>
        </w:rPr>
        <w:t>All distributions received by a trust from such a separate fund are considered income until the income determined in this manner is reached.  Distributions in excess of that amount are considered principal.</w:t>
      </w:r>
    </w:p>
    <w:p w:rsidR="00B23924" w:rsidRDefault="00F453AB" w:rsidP="006078CD">
      <w:pPr>
        <w:pStyle w:val="Work5"/>
        <w:spacing w:line="480" w:lineRule="auto"/>
        <w:ind w:left="0" w:firstLine="3600"/>
        <w:jc w:val="both"/>
        <w:rPr>
          <w:sz w:val="28"/>
          <w:szCs w:val="28"/>
        </w:rPr>
      </w:pPr>
      <w:r>
        <w:rPr>
          <w:sz w:val="28"/>
          <w:szCs w:val="28"/>
        </w:rPr>
        <w:lastRenderedPageBreak/>
        <w:t xml:space="preserve">If the distributions are less than this amount, the 2008 UPIA </w:t>
      </w:r>
      <w:r>
        <w:rPr>
          <w:rFonts w:cs="Times New Roman"/>
          <w:sz w:val="28"/>
          <w:szCs w:val="28"/>
        </w:rPr>
        <w:t>§</w:t>
      </w:r>
      <w:r>
        <w:rPr>
          <w:sz w:val="28"/>
          <w:szCs w:val="28"/>
        </w:rPr>
        <w:t>409 states that the spouse may require that the trustee allocate principal from a source other than the separate fund to income, to make up the difference.</w:t>
      </w:r>
    </w:p>
    <w:p w:rsidR="00F453AB" w:rsidRDefault="00F453AB" w:rsidP="006078CD">
      <w:pPr>
        <w:pStyle w:val="Work5"/>
        <w:spacing w:line="480" w:lineRule="auto"/>
        <w:ind w:left="0" w:firstLine="3600"/>
        <w:jc w:val="both"/>
        <w:rPr>
          <w:sz w:val="28"/>
          <w:szCs w:val="28"/>
        </w:rPr>
      </w:pPr>
      <w:r>
        <w:rPr>
          <w:sz w:val="28"/>
          <w:szCs w:val="28"/>
        </w:rPr>
        <w:t xml:space="preserve">Subsection (f) of the 2008 UPIA </w:t>
      </w:r>
      <w:r>
        <w:rPr>
          <w:rFonts w:cs="Times New Roman"/>
          <w:sz w:val="28"/>
          <w:szCs w:val="28"/>
        </w:rPr>
        <w:t>§</w:t>
      </w:r>
      <w:r>
        <w:rPr>
          <w:sz w:val="28"/>
          <w:szCs w:val="28"/>
        </w:rPr>
        <w:t>409 requires that a trustee demand that the person administering the fund distribute the internal income to the trust upon the request of the surviving spouse.</w:t>
      </w:r>
    </w:p>
    <w:p w:rsidR="00F453AB" w:rsidRDefault="00F453AB" w:rsidP="006078CD">
      <w:pPr>
        <w:pStyle w:val="Work5"/>
        <w:spacing w:line="480" w:lineRule="auto"/>
        <w:ind w:left="0" w:firstLine="3600"/>
        <w:jc w:val="both"/>
        <w:rPr>
          <w:sz w:val="28"/>
          <w:szCs w:val="28"/>
        </w:rPr>
      </w:pPr>
      <w:r>
        <w:rPr>
          <w:sz w:val="28"/>
          <w:szCs w:val="28"/>
        </w:rPr>
        <w:t>Under UPIA 2008, if a trustee cannot determine the income of a separate fund, the trustee is to apply a percentage between 3 and 5 percent, depending on the adopting state’s choice, to the fund’s value to determine the income.</w:t>
      </w:r>
    </w:p>
    <w:p w:rsidR="00F453AB" w:rsidRPr="00B23924" w:rsidRDefault="00F453AB" w:rsidP="006078CD">
      <w:pPr>
        <w:pStyle w:val="Work5"/>
        <w:spacing w:line="480" w:lineRule="auto"/>
        <w:ind w:left="0" w:firstLine="3600"/>
        <w:jc w:val="both"/>
        <w:rPr>
          <w:sz w:val="28"/>
          <w:szCs w:val="28"/>
        </w:rPr>
      </w:pPr>
      <w:r>
        <w:rPr>
          <w:sz w:val="28"/>
          <w:szCs w:val="28"/>
        </w:rPr>
        <w:t xml:space="preserve">Further, if the value of the separate fund cannot be determined, the </w:t>
      </w:r>
      <w:r w:rsidR="008A5C5C">
        <w:rPr>
          <w:sz w:val="28"/>
          <w:szCs w:val="28"/>
        </w:rPr>
        <w:t xml:space="preserve">trustee is to compute an income equivalent by multiplying the I.R.C. </w:t>
      </w:r>
      <w:r w:rsidR="008A5C5C">
        <w:rPr>
          <w:rFonts w:cs="Times New Roman"/>
          <w:sz w:val="28"/>
          <w:szCs w:val="28"/>
        </w:rPr>
        <w:t>§</w:t>
      </w:r>
      <w:r w:rsidR="008A5C5C">
        <w:rPr>
          <w:sz w:val="28"/>
          <w:szCs w:val="28"/>
        </w:rPr>
        <w:t xml:space="preserve">7520 rate by the present value of the payments, based on the </w:t>
      </w:r>
      <w:r w:rsidR="008A5C5C">
        <w:rPr>
          <w:rFonts w:cs="Times New Roman"/>
          <w:sz w:val="28"/>
          <w:szCs w:val="28"/>
        </w:rPr>
        <w:t>§</w:t>
      </w:r>
      <w:r w:rsidR="008A5C5C">
        <w:rPr>
          <w:sz w:val="28"/>
          <w:szCs w:val="28"/>
        </w:rPr>
        <w:t>7520 rate.</w:t>
      </w:r>
    </w:p>
    <w:p w:rsidR="00C9355D" w:rsidRPr="00C9355D" w:rsidRDefault="00C9355D" w:rsidP="00DC74CE">
      <w:pPr>
        <w:pStyle w:val="Work5"/>
        <w:numPr>
          <w:ilvl w:val="1"/>
          <w:numId w:val="48"/>
        </w:numPr>
        <w:tabs>
          <w:tab w:val="clear" w:pos="4320"/>
          <w:tab w:val="num" w:pos="2880"/>
        </w:tabs>
        <w:spacing w:after="0" w:line="480" w:lineRule="auto"/>
        <w:ind w:left="0" w:firstLine="2160"/>
        <w:jc w:val="both"/>
        <w:rPr>
          <w:rFonts w:cs="Times New Roman"/>
          <w:sz w:val="28"/>
          <w:szCs w:val="28"/>
        </w:rPr>
      </w:pPr>
      <w:r>
        <w:rPr>
          <w:sz w:val="28"/>
          <w:szCs w:val="28"/>
        </w:rPr>
        <w:t>The Service has published no new guidance on this issue since the 2008 revisions to the UPIA.</w:t>
      </w:r>
    </w:p>
    <w:p w:rsidR="00C9355D" w:rsidRDefault="008A5C5C" w:rsidP="00DC74CE">
      <w:pPr>
        <w:pStyle w:val="Work5"/>
        <w:numPr>
          <w:ilvl w:val="0"/>
          <w:numId w:val="0"/>
        </w:numPr>
        <w:spacing w:after="0" w:line="480" w:lineRule="auto"/>
        <w:ind w:firstLine="2880"/>
        <w:jc w:val="both"/>
        <w:rPr>
          <w:sz w:val="28"/>
          <w:szCs w:val="28"/>
        </w:rPr>
      </w:pPr>
      <w:r>
        <w:rPr>
          <w:sz w:val="28"/>
          <w:szCs w:val="28"/>
        </w:rPr>
        <w:t>a.</w:t>
      </w:r>
      <w:r>
        <w:rPr>
          <w:sz w:val="28"/>
          <w:szCs w:val="28"/>
        </w:rPr>
        <w:tab/>
      </w:r>
      <w:r w:rsidR="00C9355D">
        <w:rPr>
          <w:sz w:val="28"/>
          <w:szCs w:val="28"/>
        </w:rPr>
        <w:t xml:space="preserve">A new revenue ruling replacing Rev. Rul. 2006-26 and concluding that the “all income” requirement is satisfied by marital trusts governed by the laws of a state adopting </w:t>
      </w:r>
      <w:r w:rsidR="00C9355D">
        <w:rPr>
          <w:rFonts w:cs="Times New Roman"/>
          <w:sz w:val="28"/>
          <w:szCs w:val="28"/>
        </w:rPr>
        <w:t>§</w:t>
      </w:r>
      <w:r w:rsidR="00BE14E2">
        <w:rPr>
          <w:sz w:val="28"/>
          <w:szCs w:val="28"/>
        </w:rPr>
        <w:t>409 of UPIA 2008 is needed.</w:t>
      </w:r>
    </w:p>
    <w:p w:rsidR="00BE14E2" w:rsidRPr="00F82409" w:rsidRDefault="00BE14E2" w:rsidP="00DC74CE">
      <w:pPr>
        <w:pStyle w:val="Work5"/>
        <w:numPr>
          <w:ilvl w:val="4"/>
          <w:numId w:val="44"/>
        </w:numPr>
        <w:tabs>
          <w:tab w:val="clear" w:pos="3960"/>
        </w:tabs>
        <w:spacing w:after="0" w:line="480" w:lineRule="auto"/>
        <w:ind w:left="0" w:firstLine="2880"/>
        <w:jc w:val="both"/>
        <w:rPr>
          <w:rFonts w:cs="Times New Roman"/>
          <w:sz w:val="28"/>
          <w:szCs w:val="28"/>
        </w:rPr>
      </w:pPr>
      <w:r>
        <w:rPr>
          <w:sz w:val="28"/>
          <w:szCs w:val="28"/>
        </w:rPr>
        <w:lastRenderedPageBreak/>
        <w:t>ACTEC has formally requested that the Service to issue a revenue ruling concluding that marital trusts governed by UPIA 2008 that hold IRAs or defined contribution plan benefits satisfy the “all income” requirement.</w:t>
      </w:r>
    </w:p>
    <w:p w:rsidR="00DD5BC3" w:rsidRPr="00F82409" w:rsidRDefault="00342FBC" w:rsidP="00DC74CE">
      <w:pPr>
        <w:pStyle w:val="Work5"/>
        <w:numPr>
          <w:ilvl w:val="0"/>
          <w:numId w:val="0"/>
        </w:numPr>
        <w:spacing w:after="0" w:line="480" w:lineRule="auto"/>
        <w:ind w:firstLine="1440"/>
        <w:jc w:val="both"/>
        <w:rPr>
          <w:rFonts w:cs="Times New Roman"/>
          <w:sz w:val="28"/>
          <w:szCs w:val="28"/>
        </w:rPr>
      </w:pPr>
      <w:r>
        <w:rPr>
          <w:rFonts w:cs="Times New Roman"/>
          <w:sz w:val="28"/>
          <w:szCs w:val="28"/>
        </w:rPr>
        <w:t>F</w:t>
      </w:r>
      <w:r w:rsidR="006D58C4" w:rsidRPr="00F82409">
        <w:rPr>
          <w:rFonts w:cs="Times New Roman"/>
          <w:sz w:val="28"/>
          <w:szCs w:val="28"/>
        </w:rPr>
        <w:t>.</w:t>
      </w:r>
      <w:r w:rsidR="006D58C4" w:rsidRPr="00F82409">
        <w:rPr>
          <w:rFonts w:cs="Times New Roman"/>
          <w:sz w:val="28"/>
          <w:szCs w:val="28"/>
        </w:rPr>
        <w:tab/>
      </w:r>
      <w:r w:rsidR="00DD5BC3" w:rsidRPr="00F82409">
        <w:rPr>
          <w:rFonts w:cs="Times New Roman"/>
          <w:sz w:val="28"/>
          <w:szCs w:val="28"/>
        </w:rPr>
        <w:t>Separate Accounts For Trusts</w:t>
      </w:r>
    </w:p>
    <w:p w:rsidR="00DD5BC3" w:rsidRPr="000B4280" w:rsidRDefault="00DD5BC3" w:rsidP="00E35818">
      <w:pPr>
        <w:pStyle w:val="ListParagraph"/>
        <w:widowControl/>
        <w:numPr>
          <w:ilvl w:val="3"/>
          <w:numId w:val="48"/>
        </w:numPr>
        <w:tabs>
          <w:tab w:val="clear" w:pos="4680"/>
        </w:tabs>
        <w:spacing w:after="0" w:line="480" w:lineRule="auto"/>
        <w:ind w:left="0" w:firstLine="2160"/>
        <w:jc w:val="both"/>
        <w:rPr>
          <w:rFonts w:ascii="Times New Roman" w:hAnsi="Times New Roman" w:cs="Times New Roman"/>
          <w:sz w:val="28"/>
          <w:szCs w:val="28"/>
        </w:rPr>
      </w:pPr>
      <w:r w:rsidRPr="000B4280">
        <w:rPr>
          <w:rFonts w:ascii="Times New Roman" w:hAnsi="Times New Roman" w:cs="Times New Roman"/>
          <w:sz w:val="28"/>
          <w:szCs w:val="28"/>
        </w:rPr>
        <w:t>Treasury Regulations provide that the separate account rules are not available to beneficiaries of a trust with respect to the trust’s interest in the employee’s benefit.</w:t>
      </w:r>
    </w:p>
    <w:p w:rsidR="00DD5BC3" w:rsidRPr="00BD42F0" w:rsidRDefault="00DD5BC3" w:rsidP="00DC74CE">
      <w:pPr>
        <w:spacing w:after="0" w:line="480" w:lineRule="auto"/>
        <w:ind w:firstLine="2880"/>
        <w:jc w:val="both"/>
        <w:rPr>
          <w:rFonts w:ascii="Times New Roman" w:hAnsi="Times New Roman" w:cs="Times New Roman"/>
          <w:sz w:val="28"/>
          <w:szCs w:val="28"/>
        </w:rPr>
      </w:pPr>
      <w:r w:rsidRPr="00BD42F0">
        <w:rPr>
          <w:rFonts w:ascii="Times New Roman" w:hAnsi="Times New Roman" w:cs="Times New Roman"/>
          <w:sz w:val="28"/>
          <w:szCs w:val="28"/>
        </w:rPr>
        <w:t>a.</w:t>
      </w:r>
      <w:r w:rsidRPr="00BD42F0">
        <w:rPr>
          <w:rFonts w:ascii="Times New Roman" w:hAnsi="Times New Roman" w:cs="Times New Roman"/>
          <w:sz w:val="28"/>
          <w:szCs w:val="28"/>
        </w:rPr>
        <w:tab/>
        <w:t xml:space="preserve">The IRS now takes the position that separate account treatment is not available when a single trust is named as beneficiary. </w:t>
      </w:r>
    </w:p>
    <w:p w:rsidR="00DD5BC3" w:rsidRPr="00BD42F0" w:rsidRDefault="00DD5BC3" w:rsidP="00DC74CE">
      <w:pPr>
        <w:spacing w:after="0" w:line="480" w:lineRule="auto"/>
        <w:ind w:firstLine="2880"/>
        <w:jc w:val="both"/>
        <w:rPr>
          <w:rFonts w:ascii="Times New Roman" w:hAnsi="Times New Roman" w:cs="Times New Roman"/>
          <w:sz w:val="28"/>
          <w:szCs w:val="28"/>
        </w:rPr>
      </w:pPr>
      <w:r w:rsidRPr="00BD42F0">
        <w:rPr>
          <w:rFonts w:ascii="Times New Roman" w:hAnsi="Times New Roman" w:cs="Times New Roman"/>
          <w:sz w:val="28"/>
          <w:szCs w:val="28"/>
        </w:rPr>
        <w:t>b.</w:t>
      </w:r>
      <w:r w:rsidRPr="00BD42F0">
        <w:rPr>
          <w:rFonts w:ascii="Times New Roman" w:hAnsi="Times New Roman" w:cs="Times New Roman"/>
          <w:sz w:val="28"/>
          <w:szCs w:val="28"/>
        </w:rPr>
        <w:tab/>
        <w:t xml:space="preserve">Under the IRS’s interpretation, if all of the separate trusts created under a revocable trust are look-through trusts, then the RMDs of all such separate trusts will be based on the oldest beneficiary of all of the separate trusts together, not the oldest beneficiary of each trust share at issue.  </w:t>
      </w:r>
    </w:p>
    <w:p w:rsidR="00DD5BC3" w:rsidRPr="00BD42F0" w:rsidRDefault="00DD5BC3" w:rsidP="00DC74CE">
      <w:pPr>
        <w:spacing w:after="0" w:line="480" w:lineRule="auto"/>
        <w:ind w:firstLine="2880"/>
        <w:jc w:val="both"/>
        <w:rPr>
          <w:rFonts w:ascii="Times New Roman" w:hAnsi="Times New Roman" w:cs="Times New Roman"/>
          <w:sz w:val="28"/>
          <w:szCs w:val="28"/>
        </w:rPr>
      </w:pPr>
      <w:r w:rsidRPr="00BD42F0">
        <w:rPr>
          <w:rFonts w:ascii="Times New Roman" w:hAnsi="Times New Roman" w:cs="Times New Roman"/>
          <w:sz w:val="28"/>
          <w:szCs w:val="28"/>
        </w:rPr>
        <w:t>c.</w:t>
      </w:r>
      <w:r w:rsidRPr="00BD42F0">
        <w:rPr>
          <w:rFonts w:ascii="Times New Roman" w:hAnsi="Times New Roman" w:cs="Times New Roman"/>
          <w:sz w:val="28"/>
          <w:szCs w:val="28"/>
        </w:rPr>
        <w:tab/>
        <w:t xml:space="preserve">Therefore, on the beneficiary designation form, it is best to directly name the separate trusts to be created, as opposed to naming the funding trust.  For example, instead of naming the “John T. Smith Revocable Trust” as the beneficiary, designate each separate share of the John T. Smith Revocable Trust as fractional beneficiaries. </w:t>
      </w:r>
    </w:p>
    <w:p w:rsidR="00DD5BC3" w:rsidRPr="00055DCD" w:rsidRDefault="00DD5BC3" w:rsidP="00E35818">
      <w:pPr>
        <w:pStyle w:val="ListParagraph"/>
        <w:widowControl/>
        <w:numPr>
          <w:ilvl w:val="3"/>
          <w:numId w:val="48"/>
        </w:numPr>
        <w:tabs>
          <w:tab w:val="clear" w:pos="4680"/>
        </w:tabs>
        <w:spacing w:after="0" w:line="480" w:lineRule="auto"/>
        <w:ind w:left="0" w:firstLine="2160"/>
        <w:jc w:val="both"/>
        <w:rPr>
          <w:rFonts w:ascii="Times New Roman" w:hAnsi="Times New Roman" w:cs="Times New Roman"/>
          <w:sz w:val="28"/>
          <w:szCs w:val="28"/>
        </w:rPr>
      </w:pPr>
      <w:r w:rsidRPr="00055DCD">
        <w:rPr>
          <w:rFonts w:ascii="Times New Roman" w:hAnsi="Times New Roman" w:cs="Times New Roman"/>
          <w:sz w:val="28"/>
          <w:szCs w:val="28"/>
        </w:rPr>
        <w:t xml:space="preserve">Separate accounts for trusts is only an issue if each such separate trust is a look-through trust (a conduit trust or Accumulation Trust), </w:t>
      </w:r>
      <w:r w:rsidRPr="00055DCD">
        <w:rPr>
          <w:rFonts w:ascii="Times New Roman" w:hAnsi="Times New Roman" w:cs="Times New Roman"/>
          <w:sz w:val="28"/>
          <w:szCs w:val="28"/>
        </w:rPr>
        <w:lastRenderedPageBreak/>
        <w:t>otherwise the ages of the trust beneficiaries are irrelevant in determining the trust RMDs, and separate account treatment is not necessary.</w:t>
      </w:r>
    </w:p>
    <w:p w:rsidR="00DD5BC3" w:rsidRPr="00055DCD" w:rsidRDefault="00DD5BC3" w:rsidP="00E35818">
      <w:pPr>
        <w:pStyle w:val="ListParagraph"/>
        <w:widowControl/>
        <w:numPr>
          <w:ilvl w:val="3"/>
          <w:numId w:val="48"/>
        </w:numPr>
        <w:tabs>
          <w:tab w:val="clear" w:pos="4680"/>
        </w:tabs>
        <w:spacing w:after="0" w:line="480" w:lineRule="auto"/>
        <w:ind w:left="0" w:firstLine="2160"/>
        <w:jc w:val="both"/>
        <w:rPr>
          <w:rFonts w:ascii="Times New Roman" w:hAnsi="Times New Roman" w:cs="Times New Roman"/>
          <w:sz w:val="28"/>
          <w:szCs w:val="28"/>
        </w:rPr>
      </w:pPr>
      <w:r w:rsidRPr="00055DCD">
        <w:rPr>
          <w:rFonts w:ascii="Times New Roman" w:hAnsi="Times New Roman" w:cs="Times New Roman"/>
          <w:sz w:val="28"/>
          <w:szCs w:val="28"/>
        </w:rPr>
        <w:t xml:space="preserve">However. . .  see PLR201503024 (released January 16, 2015), which </w:t>
      </w:r>
      <w:r w:rsidRPr="00055DCD">
        <w:rPr>
          <w:rFonts w:ascii="Times New Roman" w:hAnsi="Times New Roman" w:cs="Times New Roman"/>
          <w:sz w:val="28"/>
          <w:szCs w:val="28"/>
          <w:u w:val="single"/>
        </w:rPr>
        <w:t>in effect</w:t>
      </w:r>
      <w:r w:rsidRPr="00055DCD">
        <w:rPr>
          <w:rFonts w:ascii="Times New Roman" w:hAnsi="Times New Roman" w:cs="Times New Roman"/>
          <w:sz w:val="28"/>
          <w:szCs w:val="28"/>
        </w:rPr>
        <w:t xml:space="preserve"> allowed separate account treatment </w:t>
      </w:r>
      <w:r w:rsidR="0093501E" w:rsidRPr="00055DCD">
        <w:rPr>
          <w:rFonts w:ascii="Times New Roman" w:hAnsi="Times New Roman" w:cs="Times New Roman"/>
          <w:sz w:val="28"/>
          <w:szCs w:val="28"/>
          <w:u w:val="single"/>
        </w:rPr>
        <w:t>in part</w:t>
      </w:r>
      <w:r w:rsidR="0093501E" w:rsidRPr="00055DCD">
        <w:rPr>
          <w:rFonts w:ascii="Times New Roman" w:hAnsi="Times New Roman" w:cs="Times New Roman"/>
          <w:sz w:val="28"/>
          <w:szCs w:val="28"/>
        </w:rPr>
        <w:t xml:space="preserve"> </w:t>
      </w:r>
      <w:r w:rsidRPr="00055DCD">
        <w:rPr>
          <w:rFonts w:ascii="Times New Roman" w:hAnsi="Times New Roman" w:cs="Times New Roman"/>
          <w:sz w:val="28"/>
          <w:szCs w:val="28"/>
        </w:rPr>
        <w:t>for a trust which paid out equally to five children.</w:t>
      </w:r>
    </w:p>
    <w:p w:rsidR="00DD5BC3" w:rsidRDefault="00DD5BC3" w:rsidP="00DC74CE">
      <w:pPr>
        <w:pStyle w:val="Heading1"/>
        <w:keepNext w:val="0"/>
        <w:keepLines w:val="0"/>
        <w:numPr>
          <w:ilvl w:val="6"/>
          <w:numId w:val="48"/>
        </w:numPr>
        <w:spacing w:before="0" w:line="480" w:lineRule="auto"/>
        <w:ind w:left="0" w:firstLine="1440"/>
        <w:jc w:val="both"/>
        <w:rPr>
          <w:rFonts w:ascii="Times New Roman" w:hAnsi="Times New Roman" w:cs="Times New Roman"/>
          <w:b w:val="0"/>
          <w:color w:val="auto"/>
        </w:rPr>
      </w:pPr>
      <w:r>
        <w:rPr>
          <w:rFonts w:ascii="Times New Roman" w:hAnsi="Times New Roman" w:cs="Times New Roman"/>
          <w:b w:val="0"/>
          <w:color w:val="auto"/>
        </w:rPr>
        <w:t>Outright to Spouse Versus a Marital Trust</w:t>
      </w:r>
    </w:p>
    <w:p w:rsidR="00DD5BC3" w:rsidRPr="00055DCD" w:rsidRDefault="00055DCD" w:rsidP="00E35818">
      <w:pPr>
        <w:pStyle w:val="ListParagraph"/>
        <w:spacing w:after="0" w:line="480" w:lineRule="auto"/>
        <w:ind w:left="0" w:firstLine="216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DD5BC3" w:rsidRPr="00055DCD">
        <w:rPr>
          <w:rFonts w:ascii="Times New Roman" w:hAnsi="Times New Roman" w:cs="Times New Roman"/>
          <w:sz w:val="28"/>
          <w:szCs w:val="28"/>
        </w:rPr>
        <w:t>Leaving qualified retirement assets outright to the surviving spouse is always the best tax strategy.</w:t>
      </w:r>
    </w:p>
    <w:p w:rsidR="00DD5BC3" w:rsidRDefault="00DD5BC3" w:rsidP="00E35818">
      <w:pPr>
        <w:pStyle w:val="ListParagraph"/>
        <w:numPr>
          <w:ilvl w:val="3"/>
          <w:numId w:val="44"/>
        </w:numPr>
        <w:tabs>
          <w:tab w:val="clear" w:pos="3240"/>
        </w:tabs>
        <w:spacing w:after="0" w:line="480" w:lineRule="auto"/>
        <w:ind w:left="0" w:firstLine="2160"/>
        <w:jc w:val="both"/>
        <w:rPr>
          <w:rFonts w:ascii="Times New Roman" w:hAnsi="Times New Roman" w:cs="Times New Roman"/>
          <w:sz w:val="28"/>
          <w:szCs w:val="28"/>
        </w:rPr>
      </w:pPr>
      <w:r>
        <w:rPr>
          <w:rFonts w:ascii="Times New Roman" w:hAnsi="Times New Roman" w:cs="Times New Roman"/>
          <w:sz w:val="28"/>
          <w:szCs w:val="28"/>
        </w:rPr>
        <w:t>On many occasions, a client is extremely reticent to leaving retirement assets outright to a spouse, for a variety of reasons, including the existence of a second marriage, asset protection concerns, spendthrift concerns, or disability concerns.</w:t>
      </w:r>
    </w:p>
    <w:p w:rsidR="00DD5BC3" w:rsidRDefault="00DD5BC3" w:rsidP="00DC74CE">
      <w:pPr>
        <w:pStyle w:val="ListParagraph"/>
        <w:numPr>
          <w:ilvl w:val="4"/>
          <w:numId w:val="44"/>
        </w:numPr>
        <w:tabs>
          <w:tab w:val="clear" w:pos="3960"/>
        </w:tabs>
        <w:spacing w:after="0" w:line="480" w:lineRule="auto"/>
        <w:ind w:left="0" w:firstLine="2880"/>
        <w:jc w:val="both"/>
        <w:rPr>
          <w:rFonts w:ascii="Times New Roman" w:hAnsi="Times New Roman" w:cs="Times New Roman"/>
          <w:sz w:val="28"/>
          <w:szCs w:val="28"/>
        </w:rPr>
      </w:pPr>
      <w:r>
        <w:rPr>
          <w:rFonts w:ascii="Times New Roman" w:hAnsi="Times New Roman" w:cs="Times New Roman"/>
          <w:sz w:val="28"/>
          <w:szCs w:val="28"/>
        </w:rPr>
        <w:t>A “QTIP” Trust for a surviving spouse has the following consequences:</w:t>
      </w:r>
    </w:p>
    <w:p w:rsidR="00DD5BC3" w:rsidRDefault="0093501E" w:rsidP="00DC74CE">
      <w:pPr>
        <w:tabs>
          <w:tab w:val="num" w:pos="3600"/>
          <w:tab w:val="left" w:pos="4320"/>
        </w:tabs>
        <w:spacing w:after="0" w:line="480" w:lineRule="auto"/>
        <w:ind w:right="720" w:firstLine="360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DD5BC3" w:rsidRPr="0093501E">
        <w:rPr>
          <w:rFonts w:ascii="Times New Roman" w:hAnsi="Times New Roman" w:cs="Times New Roman"/>
          <w:sz w:val="28"/>
          <w:szCs w:val="28"/>
        </w:rPr>
        <w:t>The surviving spouse cannot rollover the IRA, and therefore distributions from the IRA must begin in the calendar year after the first spouse’s death, instead of being deferred until the surviving spouse attains the age 70½.  Therefore, if the surviving spouse is younger than 70½ years old, a tremendous tax deferral opportunity will be lost.</w:t>
      </w:r>
    </w:p>
    <w:p w:rsidR="00DD5BC3" w:rsidRPr="000835CF" w:rsidRDefault="00C530A5" w:rsidP="0098710F">
      <w:pPr>
        <w:keepNext/>
        <w:keepLines/>
        <w:tabs>
          <w:tab w:val="num" w:pos="3600"/>
          <w:tab w:val="left" w:pos="4320"/>
        </w:tabs>
        <w:spacing w:after="0" w:line="480" w:lineRule="auto"/>
        <w:ind w:right="720" w:firstLine="3600"/>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rPr>
        <w:tab/>
      </w:r>
      <w:r w:rsidR="00DD5BC3" w:rsidRPr="000835CF">
        <w:rPr>
          <w:rFonts w:ascii="Times New Roman" w:hAnsi="Times New Roman" w:cs="Times New Roman"/>
          <w:sz w:val="28"/>
          <w:szCs w:val="28"/>
        </w:rPr>
        <w:t xml:space="preserve">Minimum distributions during the spouse’s life will be based on a single life expectancy table.  If the benefits were left outright to the surviving spouse, then once the spouse begins distributions of her rolled over IRA, she uses the Uniform Lifetime Table, which is based on the </w:t>
      </w:r>
      <w:r w:rsidR="00DD5BC3" w:rsidRPr="000835CF">
        <w:rPr>
          <w:rFonts w:ascii="Times New Roman" w:hAnsi="Times New Roman" w:cs="Times New Roman"/>
          <w:sz w:val="28"/>
          <w:szCs w:val="28"/>
          <w:u w:val="single"/>
        </w:rPr>
        <w:t>joint</w:t>
      </w:r>
      <w:r w:rsidR="00DD5BC3" w:rsidRPr="000835CF">
        <w:rPr>
          <w:rFonts w:ascii="Times New Roman" w:hAnsi="Times New Roman" w:cs="Times New Roman"/>
          <w:sz w:val="28"/>
          <w:szCs w:val="28"/>
        </w:rPr>
        <w:t xml:space="preserve"> life expectancy of the surviving spouse and a hypothetical new spouse who is ten years younger.  Thus, the QTIP trust beneficiary designation forces larger annual distributions and less income tax deferral.</w:t>
      </w:r>
    </w:p>
    <w:p w:rsidR="00DD5BC3" w:rsidRPr="006D6C56" w:rsidRDefault="006D6C56" w:rsidP="006D6C56">
      <w:pPr>
        <w:pStyle w:val="ListParagraph"/>
        <w:tabs>
          <w:tab w:val="num" w:pos="3600"/>
          <w:tab w:val="left" w:pos="4320"/>
        </w:tabs>
        <w:spacing w:after="0" w:line="480" w:lineRule="auto"/>
        <w:ind w:left="0" w:firstLine="360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DD5BC3" w:rsidRPr="006D6C56">
        <w:rPr>
          <w:rFonts w:ascii="Times New Roman" w:hAnsi="Times New Roman" w:cs="Times New Roman"/>
          <w:sz w:val="28"/>
          <w:szCs w:val="28"/>
        </w:rPr>
        <w:t>The distributions from the IRA will be subject to more income taxes than if the benefits were payable to the spouse outright.  Each state’s law regarding principal and income allocations are different, but in any event, a portion of the received IRA distributions will constitute “principal” for trust accounting purposes and such principal will be retained in the QTIP trust and taxed at trust income tax rates.  As we all know, a trust reaches the highest income tax bracket at approximately $12,000 in income.</w:t>
      </w:r>
    </w:p>
    <w:p w:rsidR="00DD5BC3" w:rsidRPr="006D6C56" w:rsidRDefault="00DD5BC3" w:rsidP="006D6C56">
      <w:pPr>
        <w:pStyle w:val="ListParagraph"/>
        <w:numPr>
          <w:ilvl w:val="0"/>
          <w:numId w:val="46"/>
        </w:numPr>
        <w:tabs>
          <w:tab w:val="clear" w:pos="2880"/>
          <w:tab w:val="num" w:pos="4590"/>
        </w:tabs>
        <w:spacing w:after="0" w:line="480" w:lineRule="auto"/>
        <w:ind w:left="0" w:firstLine="3600"/>
        <w:jc w:val="both"/>
        <w:rPr>
          <w:rFonts w:ascii="Times New Roman" w:hAnsi="Times New Roman" w:cs="Times New Roman"/>
          <w:sz w:val="28"/>
          <w:szCs w:val="28"/>
        </w:rPr>
      </w:pPr>
      <w:r w:rsidRPr="006D6C56">
        <w:rPr>
          <w:rFonts w:ascii="Times New Roman" w:hAnsi="Times New Roman" w:cs="Times New Roman"/>
          <w:sz w:val="28"/>
          <w:szCs w:val="28"/>
        </w:rPr>
        <w:t xml:space="preserve">If the intention is for the QTIP Trust to qualify for the estate tax marital deduction, then the trust must receive the </w:t>
      </w:r>
      <w:r w:rsidRPr="006D6C56">
        <w:rPr>
          <w:rFonts w:ascii="Times New Roman" w:hAnsi="Times New Roman" w:cs="Times New Roman"/>
          <w:sz w:val="28"/>
          <w:szCs w:val="28"/>
          <w:u w:val="single"/>
        </w:rPr>
        <w:t>greater of</w:t>
      </w:r>
      <w:r w:rsidRPr="006D6C56">
        <w:rPr>
          <w:rFonts w:ascii="Times New Roman" w:hAnsi="Times New Roman" w:cs="Times New Roman"/>
          <w:sz w:val="28"/>
          <w:szCs w:val="28"/>
        </w:rPr>
        <w:t xml:space="preserve"> the minimum distribution amount, or the amount of income earned by the IRA.  If the income earned by the IRA exceeds the minimum distribution amount, then greater amounts must be distributed from the IRA and less deferral is achieved.</w:t>
      </w:r>
    </w:p>
    <w:p w:rsidR="00DD5BC3" w:rsidRDefault="00DD5BC3" w:rsidP="00DC74CE">
      <w:pPr>
        <w:pStyle w:val="ListParagraph"/>
        <w:numPr>
          <w:ilvl w:val="4"/>
          <w:numId w:val="44"/>
        </w:numPr>
        <w:tabs>
          <w:tab w:val="clear" w:pos="3960"/>
        </w:tabs>
        <w:spacing w:after="0" w:line="480" w:lineRule="auto"/>
        <w:ind w:left="0" w:firstLine="2880"/>
        <w:jc w:val="both"/>
        <w:rPr>
          <w:rFonts w:ascii="Times New Roman" w:hAnsi="Times New Roman" w:cs="Times New Roman"/>
          <w:sz w:val="28"/>
          <w:szCs w:val="28"/>
        </w:rPr>
      </w:pPr>
      <w:r>
        <w:rPr>
          <w:rFonts w:ascii="Times New Roman" w:hAnsi="Times New Roman" w:cs="Times New Roman"/>
          <w:sz w:val="28"/>
          <w:szCs w:val="28"/>
        </w:rPr>
        <w:lastRenderedPageBreak/>
        <w:t>As an alternative to the QTIP Trust technique in second marriage situations, I have been successful in persuading clients to instead leave a fractional amount to the surviving spouse and fractional amounts to the children of the first marriage.</w:t>
      </w:r>
    </w:p>
    <w:p w:rsidR="00DD5BC3" w:rsidRDefault="00DD5BC3" w:rsidP="00DC74CE">
      <w:pPr>
        <w:pStyle w:val="ListParagraph"/>
        <w:numPr>
          <w:ilvl w:val="4"/>
          <w:numId w:val="44"/>
        </w:numPr>
        <w:tabs>
          <w:tab w:val="clear" w:pos="3960"/>
        </w:tabs>
        <w:spacing w:after="0" w:line="480" w:lineRule="auto"/>
        <w:ind w:left="0" w:firstLine="2880"/>
        <w:jc w:val="both"/>
        <w:rPr>
          <w:rFonts w:ascii="Times New Roman" w:hAnsi="Times New Roman" w:cs="Times New Roman"/>
          <w:sz w:val="28"/>
          <w:szCs w:val="28"/>
        </w:rPr>
      </w:pPr>
      <w:r>
        <w:rPr>
          <w:rFonts w:ascii="Times New Roman" w:hAnsi="Times New Roman" w:cs="Times New Roman"/>
          <w:sz w:val="28"/>
          <w:szCs w:val="28"/>
        </w:rPr>
        <w:t>Another alternative is to leave the total retirement asset amounts to the surviving spouse, and “compensate” the children of the first marriage with non-retirement assets.</w:t>
      </w:r>
    </w:p>
    <w:p w:rsidR="00DD5BC3" w:rsidRDefault="00DD5BC3" w:rsidP="00DC74CE">
      <w:pPr>
        <w:pStyle w:val="ListParagraph"/>
        <w:numPr>
          <w:ilvl w:val="4"/>
          <w:numId w:val="44"/>
        </w:numPr>
        <w:tabs>
          <w:tab w:val="clear" w:pos="3960"/>
        </w:tabs>
        <w:spacing w:after="0" w:line="480" w:lineRule="auto"/>
        <w:ind w:left="0" w:firstLine="2880"/>
        <w:jc w:val="both"/>
        <w:rPr>
          <w:rFonts w:ascii="Times New Roman" w:hAnsi="Times New Roman" w:cs="Times New Roman"/>
          <w:sz w:val="28"/>
          <w:szCs w:val="28"/>
        </w:rPr>
      </w:pPr>
      <w:r>
        <w:rPr>
          <w:rFonts w:ascii="Times New Roman" w:hAnsi="Times New Roman" w:cs="Times New Roman"/>
          <w:sz w:val="28"/>
          <w:szCs w:val="28"/>
        </w:rPr>
        <w:t xml:space="preserve">If asset protection, spendthrift protection, or some other disability protection is the objective motivating the client to consider a trust for the spouse, we must make sure that the client understands the </w:t>
      </w:r>
      <w:r w:rsidRPr="00585E69">
        <w:rPr>
          <w:rFonts w:ascii="Times New Roman" w:hAnsi="Times New Roman" w:cs="Times New Roman"/>
          <w:sz w:val="28"/>
          <w:szCs w:val="28"/>
          <w:u w:val="single"/>
        </w:rPr>
        <w:t>real cost</w:t>
      </w:r>
      <w:r>
        <w:rPr>
          <w:rFonts w:ascii="Times New Roman" w:hAnsi="Times New Roman" w:cs="Times New Roman"/>
          <w:sz w:val="28"/>
          <w:szCs w:val="28"/>
        </w:rPr>
        <w:t xml:space="preserve"> in naming a trust versus naming the spouse outright.</w:t>
      </w:r>
    </w:p>
    <w:p w:rsidR="00DD5BC3" w:rsidRPr="00F77E31" w:rsidRDefault="00342FBC" w:rsidP="00DC74CE">
      <w:pPr>
        <w:pStyle w:val="Heading1"/>
        <w:keepNext w:val="0"/>
        <w:keepLines w:val="0"/>
        <w:spacing w:before="0" w:line="480" w:lineRule="auto"/>
        <w:ind w:firstLine="1440"/>
        <w:jc w:val="both"/>
        <w:rPr>
          <w:rFonts w:ascii="Times New Roman" w:hAnsi="Times New Roman" w:cs="Times New Roman"/>
          <w:b w:val="0"/>
          <w:color w:val="auto"/>
        </w:rPr>
      </w:pPr>
      <w:r>
        <w:rPr>
          <w:rFonts w:ascii="Times New Roman" w:hAnsi="Times New Roman" w:cs="Times New Roman"/>
          <w:b w:val="0"/>
          <w:color w:val="auto"/>
        </w:rPr>
        <w:t>H</w:t>
      </w:r>
      <w:r w:rsidR="00DD5BC3" w:rsidRPr="00F77E31">
        <w:rPr>
          <w:rFonts w:ascii="Times New Roman" w:hAnsi="Times New Roman" w:cs="Times New Roman"/>
          <w:b w:val="0"/>
          <w:color w:val="auto"/>
        </w:rPr>
        <w:t>.</w:t>
      </w:r>
      <w:r w:rsidR="00DD5BC3" w:rsidRPr="00F77E31">
        <w:rPr>
          <w:rFonts w:ascii="Times New Roman" w:hAnsi="Times New Roman" w:cs="Times New Roman"/>
          <w:b w:val="0"/>
          <w:color w:val="auto"/>
        </w:rPr>
        <w:tab/>
        <w:t>Estate Taxes and Funding Credit Shelter Trusts</w:t>
      </w:r>
    </w:p>
    <w:p w:rsidR="00DD5BC3" w:rsidRPr="00BD42F0" w:rsidRDefault="00DD5BC3" w:rsidP="00E35818">
      <w:pPr>
        <w:widowControl/>
        <w:numPr>
          <w:ilvl w:val="0"/>
          <w:numId w:val="49"/>
        </w:numPr>
        <w:tabs>
          <w:tab w:val="clear" w:pos="2880"/>
        </w:tabs>
        <w:spacing w:after="0" w:line="480" w:lineRule="auto"/>
        <w:ind w:left="0" w:firstLine="2160"/>
        <w:jc w:val="both"/>
        <w:rPr>
          <w:rFonts w:ascii="Times New Roman" w:hAnsi="Times New Roman" w:cs="Times New Roman"/>
          <w:sz w:val="28"/>
          <w:szCs w:val="28"/>
        </w:rPr>
      </w:pPr>
      <w:r w:rsidRPr="00BD42F0">
        <w:rPr>
          <w:rFonts w:ascii="Times New Roman" w:hAnsi="Times New Roman" w:cs="Times New Roman"/>
          <w:sz w:val="28"/>
          <w:szCs w:val="28"/>
        </w:rPr>
        <w:t xml:space="preserve">Retirement accounts are not only subject to income tax when distributed to the beneficiary, they are also subject to estate tax at the death of the owner.  </w:t>
      </w:r>
    </w:p>
    <w:p w:rsidR="00DD5BC3" w:rsidRDefault="00DD5BC3" w:rsidP="00DC74CE">
      <w:pPr>
        <w:pStyle w:val="ListParagraph"/>
        <w:widowControl/>
        <w:numPr>
          <w:ilvl w:val="1"/>
          <w:numId w:val="49"/>
        </w:numPr>
        <w:tabs>
          <w:tab w:val="clear" w:pos="2520"/>
        </w:tabs>
        <w:spacing w:after="0" w:line="480" w:lineRule="auto"/>
        <w:ind w:left="0" w:firstLine="2880"/>
        <w:jc w:val="both"/>
        <w:rPr>
          <w:rFonts w:ascii="Times New Roman" w:hAnsi="Times New Roman" w:cs="Times New Roman"/>
          <w:sz w:val="28"/>
          <w:szCs w:val="28"/>
        </w:rPr>
      </w:pPr>
      <w:r w:rsidRPr="00AC5764">
        <w:rPr>
          <w:rFonts w:ascii="Times New Roman" w:hAnsi="Times New Roman" w:cs="Times New Roman"/>
          <w:sz w:val="28"/>
          <w:szCs w:val="28"/>
        </w:rPr>
        <w:t>For 20</w:t>
      </w:r>
      <w:r>
        <w:rPr>
          <w:rFonts w:ascii="Times New Roman" w:hAnsi="Times New Roman" w:cs="Times New Roman"/>
          <w:sz w:val="28"/>
          <w:szCs w:val="28"/>
        </w:rPr>
        <w:t>1</w:t>
      </w:r>
      <w:r w:rsidR="00055DE3">
        <w:rPr>
          <w:rFonts w:ascii="Times New Roman" w:hAnsi="Times New Roman" w:cs="Times New Roman"/>
          <w:sz w:val="28"/>
          <w:szCs w:val="28"/>
        </w:rPr>
        <w:t>6</w:t>
      </w:r>
      <w:r w:rsidRPr="00AC5764">
        <w:rPr>
          <w:rFonts w:ascii="Times New Roman" w:hAnsi="Times New Roman" w:cs="Times New Roman"/>
          <w:sz w:val="28"/>
          <w:szCs w:val="28"/>
        </w:rPr>
        <w:t xml:space="preserve">, the combined impact of the </w:t>
      </w:r>
      <w:r>
        <w:rPr>
          <w:rFonts w:ascii="Times New Roman" w:hAnsi="Times New Roman" w:cs="Times New Roman"/>
          <w:sz w:val="28"/>
          <w:szCs w:val="28"/>
        </w:rPr>
        <w:t>40</w:t>
      </w:r>
      <w:r w:rsidRPr="00AC5764">
        <w:rPr>
          <w:rFonts w:ascii="Times New Roman" w:hAnsi="Times New Roman" w:cs="Times New Roman"/>
          <w:sz w:val="28"/>
          <w:szCs w:val="28"/>
        </w:rPr>
        <w:t>% estate tax, a t</w:t>
      </w:r>
      <w:r>
        <w:rPr>
          <w:rFonts w:ascii="Times New Roman" w:hAnsi="Times New Roman" w:cs="Times New Roman"/>
          <w:sz w:val="28"/>
          <w:szCs w:val="28"/>
        </w:rPr>
        <w:t>op federal income tax rate of 39.6</w:t>
      </w:r>
      <w:r w:rsidRPr="00AC5764">
        <w:rPr>
          <w:rFonts w:ascii="Times New Roman" w:hAnsi="Times New Roman" w:cs="Times New Roman"/>
          <w:sz w:val="28"/>
          <w:szCs w:val="28"/>
        </w:rPr>
        <w:t xml:space="preserve">%, and a possible state income tax, can be devastating, even though the estate taxes on the retirement account assets are deductible for income tax purposes. IRC section 691(c). </w:t>
      </w:r>
    </w:p>
    <w:p w:rsidR="00DD5BC3" w:rsidRPr="00AC5764" w:rsidRDefault="00DD5BC3" w:rsidP="00DC74CE">
      <w:pPr>
        <w:pStyle w:val="ListParagraph"/>
        <w:widowControl/>
        <w:numPr>
          <w:ilvl w:val="1"/>
          <w:numId w:val="49"/>
        </w:numPr>
        <w:tabs>
          <w:tab w:val="clear" w:pos="2520"/>
        </w:tabs>
        <w:spacing w:after="0" w:line="480" w:lineRule="auto"/>
        <w:ind w:left="0" w:firstLine="2880"/>
        <w:jc w:val="both"/>
        <w:rPr>
          <w:rFonts w:ascii="Times New Roman" w:hAnsi="Times New Roman" w:cs="Times New Roman"/>
          <w:sz w:val="28"/>
          <w:szCs w:val="28"/>
        </w:rPr>
      </w:pPr>
      <w:r w:rsidRPr="00AC5764">
        <w:rPr>
          <w:rFonts w:ascii="Times New Roman" w:hAnsi="Times New Roman" w:cs="Times New Roman"/>
          <w:sz w:val="28"/>
          <w:szCs w:val="28"/>
        </w:rPr>
        <w:lastRenderedPageBreak/>
        <w:t xml:space="preserve">In planning for estates that are subject to estate tax, one of the most troublesome areas is the use of retirement assets to fund a credit shelter trust.  </w:t>
      </w:r>
    </w:p>
    <w:p w:rsidR="00DD5BC3" w:rsidRPr="00BD42F0" w:rsidRDefault="00DD5BC3" w:rsidP="00E35818">
      <w:pPr>
        <w:widowControl/>
        <w:numPr>
          <w:ilvl w:val="0"/>
          <w:numId w:val="49"/>
        </w:numPr>
        <w:tabs>
          <w:tab w:val="clear" w:pos="2880"/>
        </w:tabs>
        <w:spacing w:after="0" w:line="480" w:lineRule="auto"/>
        <w:ind w:left="0" w:firstLine="2160"/>
        <w:jc w:val="both"/>
        <w:rPr>
          <w:rFonts w:ascii="Times New Roman" w:hAnsi="Times New Roman" w:cs="Times New Roman"/>
          <w:sz w:val="28"/>
          <w:szCs w:val="28"/>
        </w:rPr>
      </w:pPr>
      <w:r w:rsidRPr="00BD42F0">
        <w:rPr>
          <w:rFonts w:ascii="Times New Roman" w:hAnsi="Times New Roman" w:cs="Times New Roman"/>
          <w:sz w:val="28"/>
          <w:szCs w:val="28"/>
        </w:rPr>
        <w:t xml:space="preserve">There are five main reasons to avoid naming a credit shelter trust as beneficiary of a retirement account. </w:t>
      </w:r>
    </w:p>
    <w:p w:rsidR="00DD5BC3" w:rsidRPr="00BD42F0" w:rsidRDefault="00DD5BC3" w:rsidP="00DC74CE">
      <w:pPr>
        <w:widowControl/>
        <w:numPr>
          <w:ilvl w:val="1"/>
          <w:numId w:val="49"/>
        </w:numPr>
        <w:tabs>
          <w:tab w:val="clear" w:pos="2520"/>
        </w:tabs>
        <w:spacing w:after="240" w:line="480" w:lineRule="auto"/>
        <w:ind w:left="0" w:firstLine="2880"/>
        <w:jc w:val="both"/>
        <w:rPr>
          <w:rFonts w:ascii="Times New Roman" w:hAnsi="Times New Roman" w:cs="Times New Roman"/>
          <w:sz w:val="28"/>
          <w:szCs w:val="28"/>
        </w:rPr>
      </w:pPr>
      <w:r w:rsidRPr="00BD42F0">
        <w:rPr>
          <w:rFonts w:ascii="Times New Roman" w:hAnsi="Times New Roman" w:cs="Times New Roman"/>
          <w:sz w:val="28"/>
          <w:szCs w:val="28"/>
        </w:rPr>
        <w:t xml:space="preserve">If the credit shelter trust is the beneficiary: (i) distributions from the retirement account must begin quicker (the year after the taxpayer’s death) than if the spouse was directly named beneficiary, if the surviving spouse is under age 70 ½, (ii) the RMDs are larger </w:t>
      </w:r>
      <w:r w:rsidRPr="00BD42F0">
        <w:rPr>
          <w:rFonts w:ascii="Times New Roman" w:hAnsi="Times New Roman" w:cs="Times New Roman"/>
          <w:sz w:val="28"/>
          <w:szCs w:val="28"/>
          <w:u w:val="single"/>
        </w:rPr>
        <w:t>after</w:t>
      </w:r>
      <w:r w:rsidRPr="00BD42F0">
        <w:rPr>
          <w:rFonts w:ascii="Times New Roman" w:hAnsi="Times New Roman" w:cs="Times New Roman"/>
          <w:sz w:val="28"/>
          <w:szCs w:val="28"/>
        </w:rPr>
        <w:t xml:space="preserve"> the spouse’s death, (iii) the trust will often be in the highest income tax bracket, (iv) the use of trust assets to pay income taxes on the RMDs wastes the first spouse’s estate tax exemption, and (v) we now have portability (at least for the moment!). </w:t>
      </w:r>
    </w:p>
    <w:p w:rsidR="00DD5BC3" w:rsidRPr="00DD5BC3" w:rsidRDefault="00DD5BC3" w:rsidP="00DC74CE">
      <w:pPr>
        <w:pStyle w:val="Work2"/>
        <w:numPr>
          <w:ilvl w:val="7"/>
          <w:numId w:val="49"/>
        </w:numPr>
        <w:spacing w:line="480" w:lineRule="auto"/>
        <w:ind w:left="0" w:firstLine="1440"/>
        <w:jc w:val="both"/>
        <w:rPr>
          <w:sz w:val="28"/>
          <w:szCs w:val="28"/>
        </w:rPr>
      </w:pPr>
      <w:r w:rsidRPr="009D222E">
        <w:rPr>
          <w:sz w:val="28"/>
          <w:szCs w:val="28"/>
        </w:rPr>
        <w:t xml:space="preserve">Trusts which </w:t>
      </w:r>
      <w:r>
        <w:rPr>
          <w:sz w:val="28"/>
          <w:szCs w:val="28"/>
        </w:rPr>
        <w:t xml:space="preserve">include gifts to </w:t>
      </w:r>
      <w:r w:rsidRPr="009D222E">
        <w:rPr>
          <w:sz w:val="28"/>
          <w:szCs w:val="28"/>
        </w:rPr>
        <w:t>charities involve potential traps for this unwary</w:t>
      </w:r>
      <w:r>
        <w:rPr>
          <w:sz w:val="28"/>
          <w:szCs w:val="28"/>
        </w:rPr>
        <w:t xml:space="preserve"> if the Trust is named as beneficiary of a qualified retirement plan</w:t>
      </w:r>
      <w:r w:rsidR="00C530A5">
        <w:rPr>
          <w:sz w:val="28"/>
          <w:szCs w:val="28"/>
        </w:rPr>
        <w:t xml:space="preserve">, as discussed </w:t>
      </w:r>
      <w:r w:rsidR="00C530A5">
        <w:rPr>
          <w:sz w:val="28"/>
          <w:szCs w:val="28"/>
          <w:u w:val="single"/>
        </w:rPr>
        <w:t>infra</w:t>
      </w:r>
      <w:r w:rsidR="00C530A5">
        <w:rPr>
          <w:sz w:val="28"/>
          <w:szCs w:val="28"/>
        </w:rPr>
        <w:t>.</w:t>
      </w:r>
    </w:p>
    <w:p w:rsidR="00840361" w:rsidRPr="008676E7" w:rsidRDefault="00840361" w:rsidP="00DC74CE">
      <w:pPr>
        <w:pStyle w:val="Work1"/>
        <w:ind w:left="0" w:firstLine="720"/>
        <w:jc w:val="both"/>
        <w:rPr>
          <w:sz w:val="28"/>
          <w:szCs w:val="28"/>
        </w:rPr>
      </w:pPr>
      <w:r w:rsidRPr="008676E7">
        <w:rPr>
          <w:sz w:val="28"/>
          <w:szCs w:val="28"/>
        </w:rPr>
        <w:t>CREDITOR ACCESS TO INHERITED IRAs</w:t>
      </w:r>
    </w:p>
    <w:p w:rsidR="00840361" w:rsidRPr="00821285" w:rsidRDefault="00840361" w:rsidP="00DC74CE">
      <w:pPr>
        <w:pStyle w:val="Work2"/>
        <w:spacing w:after="0" w:line="480" w:lineRule="auto"/>
        <w:ind w:left="0" w:firstLine="1440"/>
        <w:jc w:val="both"/>
        <w:rPr>
          <w:rFonts w:cs="Times New Roman"/>
          <w:sz w:val="28"/>
          <w:szCs w:val="28"/>
        </w:rPr>
      </w:pPr>
      <w:r w:rsidRPr="00821285">
        <w:rPr>
          <w:rFonts w:cs="Times New Roman"/>
          <w:sz w:val="28"/>
          <w:szCs w:val="28"/>
        </w:rPr>
        <w:t xml:space="preserve">It is always big news when an “estate planning” topic is addressed by the U.S. Supreme Court, and it happened </w:t>
      </w:r>
      <w:r>
        <w:rPr>
          <w:rFonts w:cs="Times New Roman"/>
          <w:sz w:val="28"/>
          <w:szCs w:val="28"/>
        </w:rPr>
        <w:t>most recently</w:t>
      </w:r>
      <w:r w:rsidRPr="00821285">
        <w:rPr>
          <w:rFonts w:cs="Times New Roman"/>
          <w:sz w:val="28"/>
          <w:szCs w:val="28"/>
        </w:rPr>
        <w:t xml:space="preserve"> </w:t>
      </w:r>
      <w:r w:rsidR="00433803">
        <w:rPr>
          <w:rFonts w:cs="Times New Roman"/>
          <w:sz w:val="28"/>
          <w:szCs w:val="28"/>
        </w:rPr>
        <w:t xml:space="preserve">in the </w:t>
      </w:r>
      <w:r w:rsidRPr="00821285">
        <w:rPr>
          <w:rFonts w:cs="Times New Roman"/>
          <w:sz w:val="28"/>
          <w:szCs w:val="28"/>
        </w:rPr>
        <w:t xml:space="preserve">summer </w:t>
      </w:r>
      <w:r w:rsidR="00433803">
        <w:rPr>
          <w:rFonts w:cs="Times New Roman"/>
          <w:sz w:val="28"/>
          <w:szCs w:val="28"/>
        </w:rPr>
        <w:t xml:space="preserve">of 2014 </w:t>
      </w:r>
      <w:r w:rsidRPr="00821285">
        <w:rPr>
          <w:rFonts w:cs="Times New Roman"/>
          <w:sz w:val="28"/>
          <w:szCs w:val="28"/>
        </w:rPr>
        <w:t xml:space="preserve">in </w:t>
      </w:r>
      <w:r w:rsidRPr="00821285">
        <w:rPr>
          <w:rFonts w:cs="Times New Roman"/>
          <w:sz w:val="28"/>
          <w:szCs w:val="28"/>
          <w:u w:val="single"/>
        </w:rPr>
        <w:t>Clark v. Rameker</w:t>
      </w:r>
      <w:r w:rsidRPr="00821285">
        <w:rPr>
          <w:rFonts w:cs="Times New Roman"/>
          <w:sz w:val="28"/>
          <w:szCs w:val="28"/>
        </w:rPr>
        <w:t xml:space="preserve">, </w:t>
      </w:r>
      <w:r>
        <w:rPr>
          <w:rFonts w:cs="Times New Roman"/>
          <w:sz w:val="28"/>
          <w:szCs w:val="28"/>
        </w:rPr>
        <w:t>573 U.S. ____, 134 S.Ct. 2242 (June 12, 2014).</w:t>
      </w:r>
    </w:p>
    <w:p w:rsidR="00840361" w:rsidRDefault="00840361" w:rsidP="00E35818">
      <w:pPr>
        <w:pStyle w:val="Work3"/>
        <w:spacing w:after="0" w:line="480" w:lineRule="auto"/>
        <w:ind w:left="0" w:firstLine="2160"/>
        <w:jc w:val="both"/>
        <w:rPr>
          <w:rFonts w:cs="Times New Roman"/>
          <w:sz w:val="28"/>
          <w:szCs w:val="28"/>
        </w:rPr>
      </w:pPr>
      <w:r w:rsidRPr="00821285">
        <w:rPr>
          <w:rFonts w:cs="Times New Roman"/>
          <w:sz w:val="28"/>
          <w:szCs w:val="28"/>
        </w:rPr>
        <w:lastRenderedPageBreak/>
        <w:t xml:space="preserve">In </w:t>
      </w:r>
      <w:r w:rsidRPr="00821285">
        <w:rPr>
          <w:rFonts w:cs="Times New Roman"/>
          <w:sz w:val="28"/>
          <w:szCs w:val="28"/>
          <w:u w:val="single"/>
        </w:rPr>
        <w:t>Clark</w:t>
      </w:r>
      <w:r w:rsidRPr="00821285">
        <w:rPr>
          <w:rFonts w:cs="Times New Roman"/>
          <w:sz w:val="28"/>
          <w:szCs w:val="28"/>
        </w:rPr>
        <w:t xml:space="preserve">, the United States Supreme Court granted </w:t>
      </w:r>
      <w:r>
        <w:rPr>
          <w:rFonts w:cs="Times New Roman"/>
          <w:sz w:val="28"/>
          <w:szCs w:val="28"/>
        </w:rPr>
        <w:t>c</w:t>
      </w:r>
      <w:r>
        <w:rPr>
          <w:rFonts w:cs="Times New Roman"/>
          <w:i/>
          <w:sz w:val="28"/>
          <w:szCs w:val="28"/>
        </w:rPr>
        <w:t>ertiorari</w:t>
      </w:r>
      <w:r w:rsidRPr="00821285">
        <w:rPr>
          <w:rFonts w:cs="Times New Roman"/>
          <w:i/>
          <w:sz w:val="28"/>
          <w:szCs w:val="28"/>
        </w:rPr>
        <w:t xml:space="preserve"> </w:t>
      </w:r>
      <w:r w:rsidRPr="00821285">
        <w:rPr>
          <w:rFonts w:cs="Times New Roman"/>
          <w:sz w:val="28"/>
          <w:szCs w:val="28"/>
        </w:rPr>
        <w:t xml:space="preserve">to resolve a conflict between the </w:t>
      </w:r>
      <w:r>
        <w:rPr>
          <w:rFonts w:cs="Times New Roman"/>
          <w:sz w:val="28"/>
          <w:szCs w:val="28"/>
        </w:rPr>
        <w:t>C</w:t>
      </w:r>
      <w:r w:rsidRPr="00821285">
        <w:rPr>
          <w:rFonts w:cs="Times New Roman"/>
          <w:sz w:val="28"/>
          <w:szCs w:val="28"/>
        </w:rPr>
        <w:t xml:space="preserve">ircuits on the issue of whether a beneficiary of an inherited IRA can claim </w:t>
      </w:r>
      <w:r>
        <w:rPr>
          <w:rFonts w:cs="Times New Roman"/>
          <w:sz w:val="28"/>
          <w:szCs w:val="28"/>
        </w:rPr>
        <w:t xml:space="preserve">a </w:t>
      </w:r>
      <w:r w:rsidRPr="006F69DF">
        <w:rPr>
          <w:rFonts w:cs="Times New Roman"/>
          <w:sz w:val="28"/>
          <w:szCs w:val="28"/>
          <w:u w:val="single"/>
        </w:rPr>
        <w:t>federal</w:t>
      </w:r>
      <w:r>
        <w:rPr>
          <w:rFonts w:cs="Times New Roman"/>
          <w:sz w:val="28"/>
          <w:szCs w:val="28"/>
        </w:rPr>
        <w:t xml:space="preserve"> bankruptcy </w:t>
      </w:r>
      <w:r w:rsidRPr="00821285">
        <w:rPr>
          <w:rFonts w:cs="Times New Roman"/>
          <w:sz w:val="28"/>
          <w:szCs w:val="28"/>
        </w:rPr>
        <w:t>exemption from creditors for such inherited IRA.</w:t>
      </w:r>
    </w:p>
    <w:p w:rsidR="00840361" w:rsidRPr="00821285" w:rsidRDefault="00840361" w:rsidP="00E35818">
      <w:pPr>
        <w:pStyle w:val="Work3"/>
        <w:spacing w:after="0" w:line="480" w:lineRule="auto"/>
        <w:ind w:left="0" w:firstLine="2160"/>
        <w:jc w:val="both"/>
        <w:rPr>
          <w:rFonts w:cs="Times New Roman"/>
          <w:sz w:val="28"/>
          <w:szCs w:val="28"/>
        </w:rPr>
      </w:pPr>
      <w:r>
        <w:rPr>
          <w:rFonts w:cs="Times New Roman"/>
          <w:sz w:val="28"/>
          <w:szCs w:val="28"/>
        </w:rPr>
        <w:t>The federal bankruptcy law provides an exemption for “[r]etirement funds to the extent that those funds are in a fund or account that is exempt from taxation under §§ 401, 403, 408, 408A, 414, 457 or 501(a) of the Internal Revenue Code of 1986.”  11 U.S.C. §§ 522(b)(3)(c), 522(d)(12) (It is noteworthy that an “inherited IRA” is an IRA classification specifically recognized by Code Section 408(d).)</w:t>
      </w:r>
    </w:p>
    <w:p w:rsidR="00840361" w:rsidRPr="00821285" w:rsidRDefault="00840361" w:rsidP="00E35818">
      <w:pPr>
        <w:pStyle w:val="Work3"/>
        <w:spacing w:after="0" w:line="480" w:lineRule="auto"/>
        <w:ind w:left="0" w:firstLine="2160"/>
        <w:jc w:val="both"/>
        <w:rPr>
          <w:rFonts w:cs="Times New Roman"/>
          <w:sz w:val="28"/>
          <w:szCs w:val="28"/>
        </w:rPr>
      </w:pPr>
      <w:r w:rsidRPr="00821285">
        <w:rPr>
          <w:rFonts w:cs="Times New Roman"/>
          <w:sz w:val="28"/>
          <w:szCs w:val="28"/>
        </w:rPr>
        <w:t xml:space="preserve">In a </w:t>
      </w:r>
      <w:r w:rsidRPr="00750EB5">
        <w:rPr>
          <w:rFonts w:cs="Times New Roman"/>
          <w:sz w:val="28"/>
          <w:szCs w:val="28"/>
          <w:u w:val="single"/>
        </w:rPr>
        <w:t>unanimous</w:t>
      </w:r>
      <w:r w:rsidRPr="00821285">
        <w:rPr>
          <w:rFonts w:cs="Times New Roman"/>
          <w:sz w:val="28"/>
          <w:szCs w:val="28"/>
        </w:rPr>
        <w:t xml:space="preserve"> decision, the Court first defined “retirement funds” as funds set aside for the day when an individual is no longer working</w:t>
      </w:r>
      <w:r>
        <w:rPr>
          <w:rFonts w:cs="Times New Roman"/>
          <w:sz w:val="28"/>
          <w:szCs w:val="28"/>
        </w:rPr>
        <w:t>,</w:t>
      </w:r>
      <w:r w:rsidRPr="00821285">
        <w:rPr>
          <w:rFonts w:cs="Times New Roman"/>
          <w:sz w:val="28"/>
          <w:szCs w:val="28"/>
        </w:rPr>
        <w:t xml:space="preserve"> and then cited three </w:t>
      </w:r>
      <w:r>
        <w:rPr>
          <w:rFonts w:cs="Times New Roman"/>
          <w:sz w:val="28"/>
          <w:szCs w:val="28"/>
        </w:rPr>
        <w:t xml:space="preserve">(3) </w:t>
      </w:r>
      <w:r w:rsidRPr="00821285">
        <w:rPr>
          <w:rFonts w:cs="Times New Roman"/>
          <w:sz w:val="28"/>
          <w:szCs w:val="28"/>
        </w:rPr>
        <w:t>characteristics which, in the view of the Court, prevents inherited IRAs from being considered “retirement funds.”</w:t>
      </w:r>
    </w:p>
    <w:p w:rsidR="00840361" w:rsidRPr="00821285" w:rsidRDefault="00840361" w:rsidP="00DC74CE">
      <w:pPr>
        <w:pStyle w:val="Work4"/>
        <w:spacing w:after="0" w:line="480" w:lineRule="auto"/>
        <w:ind w:left="0" w:firstLine="2880"/>
        <w:jc w:val="both"/>
        <w:rPr>
          <w:rFonts w:cs="Times New Roman"/>
          <w:sz w:val="28"/>
          <w:szCs w:val="28"/>
        </w:rPr>
      </w:pPr>
      <w:r w:rsidRPr="00821285">
        <w:rPr>
          <w:rFonts w:cs="Times New Roman"/>
          <w:sz w:val="28"/>
          <w:szCs w:val="28"/>
        </w:rPr>
        <w:t xml:space="preserve">The holder of an inherited IRA </w:t>
      </w:r>
      <w:r>
        <w:rPr>
          <w:rFonts w:cs="Times New Roman"/>
          <w:sz w:val="28"/>
          <w:szCs w:val="28"/>
        </w:rPr>
        <w:t xml:space="preserve">may </w:t>
      </w:r>
      <w:r w:rsidRPr="00821285">
        <w:rPr>
          <w:rFonts w:cs="Times New Roman"/>
          <w:sz w:val="28"/>
          <w:szCs w:val="28"/>
        </w:rPr>
        <w:t>never make contributions thereto, as opposed to traditional IRAs and Roth IRAs which receive tax incentives for the accumulation of additional funds for retirement.</w:t>
      </w:r>
    </w:p>
    <w:p w:rsidR="00840361" w:rsidRPr="00821285" w:rsidRDefault="00840361" w:rsidP="00DC74CE">
      <w:pPr>
        <w:pStyle w:val="Work4"/>
        <w:spacing w:after="0" w:line="480" w:lineRule="auto"/>
        <w:ind w:left="0" w:firstLine="2880"/>
        <w:jc w:val="both"/>
        <w:rPr>
          <w:rFonts w:cs="Times New Roman"/>
          <w:sz w:val="28"/>
          <w:szCs w:val="28"/>
        </w:rPr>
      </w:pPr>
      <w:r w:rsidRPr="00821285">
        <w:rPr>
          <w:rFonts w:cs="Times New Roman"/>
          <w:sz w:val="28"/>
          <w:szCs w:val="28"/>
        </w:rPr>
        <w:t xml:space="preserve">A holder of an inherited IRA is required to withdraw money from such account, </w:t>
      </w:r>
      <w:r>
        <w:rPr>
          <w:rFonts w:cs="Times New Roman"/>
          <w:sz w:val="28"/>
          <w:szCs w:val="28"/>
        </w:rPr>
        <w:t xml:space="preserve">without regard to </w:t>
      </w:r>
      <w:r w:rsidRPr="00821285">
        <w:rPr>
          <w:rFonts w:cs="Times New Roman"/>
          <w:sz w:val="28"/>
          <w:szCs w:val="28"/>
        </w:rPr>
        <w:t>how far away that person is from retirement.</w:t>
      </w:r>
    </w:p>
    <w:p w:rsidR="00840361" w:rsidRDefault="00840361" w:rsidP="00DC74CE">
      <w:pPr>
        <w:pStyle w:val="Work4"/>
        <w:spacing w:after="0" w:line="480" w:lineRule="auto"/>
        <w:ind w:left="0" w:firstLine="2880"/>
        <w:jc w:val="both"/>
        <w:rPr>
          <w:rFonts w:cs="Times New Roman"/>
          <w:sz w:val="28"/>
          <w:szCs w:val="28"/>
        </w:rPr>
      </w:pPr>
      <w:r w:rsidRPr="00821285">
        <w:rPr>
          <w:rFonts w:cs="Times New Roman"/>
          <w:sz w:val="28"/>
          <w:szCs w:val="28"/>
        </w:rPr>
        <w:lastRenderedPageBreak/>
        <w:t xml:space="preserve">The holder of an inherited IRA may withdraw all of the funds at any time without penalty, </w:t>
      </w:r>
      <w:r>
        <w:rPr>
          <w:rFonts w:cs="Times New Roman"/>
          <w:sz w:val="28"/>
          <w:szCs w:val="28"/>
        </w:rPr>
        <w:t xml:space="preserve">and use them for any purpose, </w:t>
      </w:r>
      <w:r w:rsidRPr="00821285">
        <w:rPr>
          <w:rFonts w:cs="Times New Roman"/>
          <w:sz w:val="28"/>
          <w:szCs w:val="28"/>
        </w:rPr>
        <w:t>while the owner of a traditional IRA or a Roth IRA must wait until attaining age 59½ in order to withdraw funds from such accounts without penalty.</w:t>
      </w:r>
    </w:p>
    <w:p w:rsidR="00840361" w:rsidRPr="00750EB5" w:rsidRDefault="00840361" w:rsidP="00E35818">
      <w:pPr>
        <w:pStyle w:val="Work3"/>
        <w:spacing w:line="480" w:lineRule="auto"/>
        <w:ind w:left="0" w:firstLine="2160"/>
        <w:jc w:val="both"/>
        <w:rPr>
          <w:sz w:val="28"/>
          <w:szCs w:val="28"/>
        </w:rPr>
      </w:pPr>
      <w:r>
        <w:rPr>
          <w:sz w:val="28"/>
          <w:szCs w:val="28"/>
        </w:rPr>
        <w:t>In a crowning blow, the Court stated that nothing about an inherited IRA’s legal characteristics prevents or discourages an individual from using the entire balance immediately after bankruptcy for purposes of current consumption.</w:t>
      </w:r>
    </w:p>
    <w:p w:rsidR="00840361" w:rsidRPr="00821285" w:rsidRDefault="00840361" w:rsidP="009E2201">
      <w:pPr>
        <w:pStyle w:val="Work2"/>
        <w:spacing w:after="0" w:line="480" w:lineRule="auto"/>
        <w:ind w:left="0" w:firstLine="1440"/>
        <w:jc w:val="both"/>
        <w:rPr>
          <w:rFonts w:cs="Times New Roman"/>
          <w:sz w:val="28"/>
          <w:szCs w:val="28"/>
        </w:rPr>
      </w:pPr>
      <w:r w:rsidRPr="00821285">
        <w:rPr>
          <w:rFonts w:cs="Times New Roman"/>
          <w:sz w:val="28"/>
          <w:szCs w:val="28"/>
        </w:rPr>
        <w:t xml:space="preserve">The history behind </w:t>
      </w:r>
      <w:r w:rsidRPr="00821285">
        <w:rPr>
          <w:rFonts w:cs="Times New Roman"/>
          <w:sz w:val="28"/>
          <w:szCs w:val="28"/>
          <w:u w:val="single"/>
        </w:rPr>
        <w:t>Clark</w:t>
      </w:r>
      <w:r w:rsidRPr="00821285">
        <w:rPr>
          <w:rFonts w:cs="Times New Roman"/>
          <w:sz w:val="28"/>
          <w:szCs w:val="28"/>
        </w:rPr>
        <w:t>.</w:t>
      </w:r>
    </w:p>
    <w:p w:rsidR="00840361" w:rsidRPr="00821285" w:rsidRDefault="00840361" w:rsidP="00E35818">
      <w:pPr>
        <w:pStyle w:val="Work3"/>
        <w:spacing w:after="0" w:line="480" w:lineRule="auto"/>
        <w:ind w:left="0" w:firstLine="2160"/>
        <w:jc w:val="both"/>
        <w:rPr>
          <w:rFonts w:cs="Times New Roman"/>
          <w:sz w:val="28"/>
          <w:szCs w:val="28"/>
        </w:rPr>
      </w:pPr>
      <w:r w:rsidRPr="00821285">
        <w:rPr>
          <w:rFonts w:cs="Times New Roman"/>
          <w:sz w:val="28"/>
          <w:szCs w:val="28"/>
        </w:rPr>
        <w:t xml:space="preserve">Remember that IRAs belonging to the original </w:t>
      </w:r>
      <w:r>
        <w:rPr>
          <w:rFonts w:cs="Times New Roman"/>
          <w:sz w:val="28"/>
          <w:szCs w:val="28"/>
        </w:rPr>
        <w:t xml:space="preserve">account owner </w:t>
      </w:r>
      <w:r w:rsidRPr="00821285">
        <w:rPr>
          <w:rFonts w:cs="Times New Roman"/>
          <w:sz w:val="28"/>
          <w:szCs w:val="28"/>
        </w:rPr>
        <w:t xml:space="preserve">are generally exempt from the </w:t>
      </w:r>
      <w:r>
        <w:rPr>
          <w:rFonts w:cs="Times New Roman"/>
          <w:sz w:val="28"/>
          <w:szCs w:val="28"/>
        </w:rPr>
        <w:t xml:space="preserve">account owner’s </w:t>
      </w:r>
      <w:r w:rsidRPr="00821285">
        <w:rPr>
          <w:rFonts w:cs="Times New Roman"/>
          <w:sz w:val="28"/>
          <w:szCs w:val="28"/>
        </w:rPr>
        <w:t xml:space="preserve">creditors in </w:t>
      </w:r>
      <w:r>
        <w:rPr>
          <w:rFonts w:cs="Times New Roman"/>
          <w:sz w:val="28"/>
          <w:szCs w:val="28"/>
        </w:rPr>
        <w:t xml:space="preserve">federal </w:t>
      </w:r>
      <w:r w:rsidRPr="00821285">
        <w:rPr>
          <w:rFonts w:cs="Times New Roman"/>
          <w:sz w:val="28"/>
          <w:szCs w:val="28"/>
        </w:rPr>
        <w:t xml:space="preserve">bankruptcy </w:t>
      </w:r>
      <w:r w:rsidRPr="00750EB5">
        <w:rPr>
          <w:rFonts w:cs="Times New Roman"/>
          <w:sz w:val="28"/>
          <w:szCs w:val="28"/>
          <w:u w:val="single"/>
        </w:rPr>
        <w:t>and</w:t>
      </w:r>
      <w:r w:rsidRPr="00821285">
        <w:rPr>
          <w:rFonts w:cs="Times New Roman"/>
          <w:sz w:val="28"/>
          <w:szCs w:val="28"/>
        </w:rPr>
        <w:t xml:space="preserve"> otherwise.</w:t>
      </w:r>
    </w:p>
    <w:p w:rsidR="00840361" w:rsidRPr="00821285" w:rsidRDefault="00840361" w:rsidP="00E35818">
      <w:pPr>
        <w:pStyle w:val="Work3"/>
        <w:spacing w:after="0" w:line="480" w:lineRule="auto"/>
        <w:ind w:left="0" w:firstLine="2160"/>
        <w:jc w:val="both"/>
        <w:rPr>
          <w:rFonts w:cs="Times New Roman"/>
          <w:sz w:val="28"/>
          <w:szCs w:val="28"/>
        </w:rPr>
      </w:pPr>
      <w:r w:rsidRPr="00821285">
        <w:rPr>
          <w:rFonts w:cs="Times New Roman"/>
          <w:sz w:val="28"/>
          <w:szCs w:val="28"/>
        </w:rPr>
        <w:t>One major source of confusion in this area is, although bankruptcy law is federal law decided in federal bankruptcy courts</w:t>
      </w:r>
      <w:r>
        <w:rPr>
          <w:rFonts w:cs="Times New Roman"/>
          <w:sz w:val="28"/>
          <w:szCs w:val="28"/>
        </w:rPr>
        <w:t>,</w:t>
      </w:r>
      <w:r w:rsidRPr="00821285">
        <w:rPr>
          <w:rFonts w:cs="Times New Roman"/>
          <w:sz w:val="28"/>
          <w:szCs w:val="28"/>
        </w:rPr>
        <w:t xml:space="preserve"> many states </w:t>
      </w:r>
      <w:r w:rsidRPr="00750EB5">
        <w:rPr>
          <w:rFonts w:cs="Times New Roman"/>
          <w:sz w:val="28"/>
          <w:szCs w:val="28"/>
          <w:u w:val="single"/>
        </w:rPr>
        <w:t>opt out</w:t>
      </w:r>
      <w:r w:rsidRPr="00821285">
        <w:rPr>
          <w:rFonts w:cs="Times New Roman"/>
          <w:sz w:val="28"/>
          <w:szCs w:val="28"/>
        </w:rPr>
        <w:t xml:space="preserve"> of the federal bankruptcy scheme, thus activating the application of state exemption statutes in federal bankruptcy cases (some states, like Texas, allow a debtor to select state or federal exemptions).</w:t>
      </w:r>
      <w:r>
        <w:rPr>
          <w:rFonts w:cs="Times New Roman"/>
          <w:sz w:val="28"/>
          <w:szCs w:val="28"/>
        </w:rPr>
        <w:t xml:space="preserve">  The majority of states opt out, and thus the bankruptcy exemptions are decided under </w:t>
      </w:r>
      <w:r>
        <w:rPr>
          <w:rFonts w:cs="Times New Roman"/>
          <w:sz w:val="28"/>
          <w:szCs w:val="28"/>
          <w:u w:val="single"/>
        </w:rPr>
        <w:t>state</w:t>
      </w:r>
      <w:r>
        <w:rPr>
          <w:rFonts w:cs="Times New Roman"/>
          <w:sz w:val="28"/>
          <w:szCs w:val="28"/>
        </w:rPr>
        <w:t xml:space="preserve"> exemption laws.</w:t>
      </w:r>
    </w:p>
    <w:p w:rsidR="00840361" w:rsidRPr="00821285" w:rsidRDefault="00840361" w:rsidP="00E35818">
      <w:pPr>
        <w:pStyle w:val="Work3"/>
        <w:spacing w:after="0" w:line="480" w:lineRule="auto"/>
        <w:ind w:left="0" w:firstLine="2160"/>
        <w:jc w:val="both"/>
        <w:rPr>
          <w:rFonts w:cs="Times New Roman"/>
          <w:sz w:val="28"/>
          <w:szCs w:val="28"/>
        </w:rPr>
      </w:pPr>
      <w:r w:rsidRPr="00821285">
        <w:rPr>
          <w:rFonts w:cs="Times New Roman"/>
          <w:sz w:val="28"/>
          <w:szCs w:val="28"/>
        </w:rPr>
        <w:t xml:space="preserve">Prior to </w:t>
      </w:r>
      <w:r w:rsidRPr="00821285">
        <w:rPr>
          <w:rFonts w:cs="Times New Roman"/>
          <w:sz w:val="28"/>
          <w:szCs w:val="28"/>
          <w:u w:val="single"/>
        </w:rPr>
        <w:t>Clark</w:t>
      </w:r>
      <w:r w:rsidRPr="00821285">
        <w:rPr>
          <w:rFonts w:cs="Times New Roman"/>
          <w:sz w:val="28"/>
          <w:szCs w:val="28"/>
        </w:rPr>
        <w:t xml:space="preserve">, there were </w:t>
      </w:r>
      <w:r>
        <w:rPr>
          <w:rFonts w:cs="Times New Roman"/>
          <w:sz w:val="28"/>
          <w:szCs w:val="28"/>
        </w:rPr>
        <w:t xml:space="preserve">twelve (12) </w:t>
      </w:r>
      <w:r w:rsidRPr="00821285">
        <w:rPr>
          <w:rFonts w:cs="Times New Roman"/>
          <w:sz w:val="28"/>
          <w:szCs w:val="28"/>
        </w:rPr>
        <w:t>reported cases dealing with beneficiaries of inherited IRAs within the federal bankruptcy context.</w:t>
      </w:r>
    </w:p>
    <w:p w:rsidR="00840361" w:rsidRPr="00821285" w:rsidRDefault="00840361" w:rsidP="009E2201">
      <w:pPr>
        <w:pStyle w:val="Work4"/>
        <w:spacing w:after="0" w:line="480" w:lineRule="auto"/>
        <w:ind w:left="0" w:firstLine="2880"/>
        <w:jc w:val="both"/>
        <w:rPr>
          <w:rFonts w:cs="Times New Roman"/>
          <w:sz w:val="28"/>
          <w:szCs w:val="28"/>
        </w:rPr>
      </w:pPr>
      <w:r w:rsidRPr="00821285">
        <w:rPr>
          <w:rFonts w:cs="Times New Roman"/>
          <w:sz w:val="28"/>
          <w:szCs w:val="28"/>
        </w:rPr>
        <w:lastRenderedPageBreak/>
        <w:t xml:space="preserve">Eight of these courts </w:t>
      </w:r>
      <w:r>
        <w:rPr>
          <w:rFonts w:cs="Times New Roman"/>
          <w:sz w:val="28"/>
          <w:szCs w:val="28"/>
        </w:rPr>
        <w:t xml:space="preserve">(all of which are in “opt-out” states, except for Texas) </w:t>
      </w:r>
      <w:r w:rsidRPr="00821285">
        <w:rPr>
          <w:rFonts w:cs="Times New Roman"/>
          <w:sz w:val="28"/>
          <w:szCs w:val="28"/>
        </w:rPr>
        <w:t xml:space="preserve">found that the inherited IRAs were </w:t>
      </w:r>
      <w:r w:rsidRPr="00821285">
        <w:rPr>
          <w:rFonts w:cs="Times New Roman"/>
          <w:sz w:val="28"/>
          <w:szCs w:val="28"/>
          <w:u w:val="single"/>
        </w:rPr>
        <w:t>not</w:t>
      </w:r>
      <w:r w:rsidRPr="00821285">
        <w:rPr>
          <w:rFonts w:cs="Times New Roman"/>
          <w:sz w:val="28"/>
          <w:szCs w:val="28"/>
        </w:rPr>
        <w:t xml:space="preserve"> exempt from the bankrupt estate in federal bankruptcy, including: </w:t>
      </w:r>
      <w:r w:rsidRPr="008175AC">
        <w:rPr>
          <w:rFonts w:cs="Times New Roman"/>
          <w:i/>
          <w:sz w:val="28"/>
          <w:szCs w:val="28"/>
          <w:u w:val="single"/>
        </w:rPr>
        <w:t>In re</w:t>
      </w:r>
      <w:r w:rsidRPr="008175AC">
        <w:rPr>
          <w:rFonts w:cs="Times New Roman"/>
          <w:sz w:val="28"/>
          <w:szCs w:val="28"/>
          <w:u w:val="single"/>
        </w:rPr>
        <w:t xml:space="preserve"> Sims</w:t>
      </w:r>
      <w:r w:rsidRPr="00821285">
        <w:rPr>
          <w:rFonts w:cs="Times New Roman"/>
          <w:sz w:val="28"/>
          <w:szCs w:val="28"/>
        </w:rPr>
        <w:t xml:space="preserve">, 241 B.R. 467 (Bankr. N.D. Okla. 1999); </w:t>
      </w:r>
      <w:r w:rsidRPr="008175AC">
        <w:rPr>
          <w:rFonts w:cs="Times New Roman"/>
          <w:i/>
          <w:sz w:val="28"/>
          <w:szCs w:val="28"/>
          <w:u w:val="single"/>
        </w:rPr>
        <w:t>In re</w:t>
      </w:r>
      <w:r w:rsidRPr="008175AC">
        <w:rPr>
          <w:rFonts w:cs="Times New Roman"/>
          <w:sz w:val="28"/>
          <w:szCs w:val="28"/>
          <w:u w:val="single"/>
        </w:rPr>
        <w:t xml:space="preserve"> Greenfield</w:t>
      </w:r>
      <w:r w:rsidRPr="00821285">
        <w:rPr>
          <w:rFonts w:cs="Times New Roman"/>
          <w:sz w:val="28"/>
          <w:szCs w:val="28"/>
        </w:rPr>
        <w:t xml:space="preserve">, 289 B.R. 146 (Bankr. S.D. Cal. 2003); </w:t>
      </w:r>
      <w:r w:rsidRPr="008175AC">
        <w:rPr>
          <w:rFonts w:cs="Times New Roman"/>
          <w:i/>
          <w:sz w:val="28"/>
          <w:szCs w:val="28"/>
          <w:u w:val="single"/>
        </w:rPr>
        <w:t>In re</w:t>
      </w:r>
      <w:r w:rsidRPr="008175AC">
        <w:rPr>
          <w:rFonts w:cs="Times New Roman"/>
          <w:sz w:val="28"/>
          <w:szCs w:val="28"/>
          <w:u w:val="single"/>
        </w:rPr>
        <w:t xml:space="preserve"> Navarre</w:t>
      </w:r>
      <w:r w:rsidRPr="00821285">
        <w:rPr>
          <w:rFonts w:cs="Times New Roman"/>
          <w:sz w:val="28"/>
          <w:szCs w:val="28"/>
        </w:rPr>
        <w:t xml:space="preserve">, 332 B.R. 24 (Bankr. M.D. Ala. 2004); </w:t>
      </w:r>
      <w:r w:rsidRPr="008175AC">
        <w:rPr>
          <w:rFonts w:cs="Times New Roman"/>
          <w:i/>
          <w:sz w:val="28"/>
          <w:szCs w:val="28"/>
          <w:u w:val="single"/>
        </w:rPr>
        <w:t>In re</w:t>
      </w:r>
      <w:r w:rsidRPr="008175AC">
        <w:rPr>
          <w:rFonts w:cs="Times New Roman"/>
          <w:sz w:val="28"/>
          <w:szCs w:val="28"/>
          <w:u w:val="single"/>
        </w:rPr>
        <w:t xml:space="preserve"> Taylor</w:t>
      </w:r>
      <w:r w:rsidRPr="00821285">
        <w:rPr>
          <w:rFonts w:cs="Times New Roman"/>
          <w:sz w:val="28"/>
          <w:szCs w:val="28"/>
        </w:rPr>
        <w:t>, Bank. No. 05-93559, 2006 WL 127540</w:t>
      </w:r>
      <w:r>
        <w:rPr>
          <w:rFonts w:cs="Times New Roman"/>
          <w:sz w:val="28"/>
          <w:szCs w:val="28"/>
        </w:rPr>
        <w:t>0</w:t>
      </w:r>
      <w:r w:rsidRPr="00821285">
        <w:rPr>
          <w:rFonts w:cs="Times New Roman"/>
          <w:sz w:val="28"/>
          <w:szCs w:val="28"/>
        </w:rPr>
        <w:t xml:space="preserve"> (Bankr. C.D. Ill. May 9, 2006); </w:t>
      </w:r>
      <w:r w:rsidRPr="008175AC">
        <w:rPr>
          <w:rFonts w:cs="Times New Roman"/>
          <w:i/>
          <w:sz w:val="28"/>
          <w:szCs w:val="28"/>
          <w:u w:val="single"/>
        </w:rPr>
        <w:t>In re</w:t>
      </w:r>
      <w:r w:rsidRPr="008175AC">
        <w:rPr>
          <w:rFonts w:cs="Times New Roman"/>
          <w:sz w:val="28"/>
          <w:szCs w:val="28"/>
          <w:u w:val="single"/>
        </w:rPr>
        <w:t xml:space="preserve"> Kirchen</w:t>
      </w:r>
      <w:r w:rsidRPr="00821285">
        <w:rPr>
          <w:rFonts w:cs="Times New Roman"/>
          <w:sz w:val="28"/>
          <w:szCs w:val="28"/>
        </w:rPr>
        <w:t xml:space="preserve">, 344 B.R. 908 (Bankr. E.D. Wis 2006); </w:t>
      </w:r>
      <w:r w:rsidRPr="008175AC">
        <w:rPr>
          <w:rFonts w:cs="Times New Roman"/>
          <w:i/>
          <w:sz w:val="28"/>
          <w:szCs w:val="28"/>
          <w:u w:val="single"/>
        </w:rPr>
        <w:t>In re</w:t>
      </w:r>
      <w:r w:rsidRPr="008175AC">
        <w:rPr>
          <w:rFonts w:cs="Times New Roman"/>
          <w:sz w:val="28"/>
          <w:szCs w:val="28"/>
          <w:u w:val="single"/>
        </w:rPr>
        <w:t xml:space="preserve"> Jarboe</w:t>
      </w:r>
      <w:r w:rsidRPr="00821285">
        <w:rPr>
          <w:rFonts w:cs="Times New Roman"/>
          <w:sz w:val="28"/>
          <w:szCs w:val="28"/>
        </w:rPr>
        <w:t xml:space="preserve">, 365 B.R. 717 (Bankr. S.D. Tex. 2007); </w:t>
      </w:r>
      <w:r w:rsidRPr="008175AC">
        <w:rPr>
          <w:rFonts w:cs="Times New Roman"/>
          <w:i/>
          <w:sz w:val="28"/>
          <w:szCs w:val="28"/>
          <w:u w:val="single"/>
        </w:rPr>
        <w:t>Robertson v. Deeb</w:t>
      </w:r>
      <w:r w:rsidRPr="00821285">
        <w:rPr>
          <w:rFonts w:cs="Times New Roman"/>
          <w:sz w:val="28"/>
          <w:szCs w:val="28"/>
        </w:rPr>
        <w:t>, 16 So. 3d 936 (Fla. 2d DCA 2009);</w:t>
      </w:r>
      <w:r>
        <w:rPr>
          <w:rFonts w:cs="Times New Roman"/>
          <w:sz w:val="28"/>
          <w:szCs w:val="28"/>
        </w:rPr>
        <w:t xml:space="preserve"> and</w:t>
      </w:r>
      <w:r w:rsidRPr="00821285">
        <w:rPr>
          <w:rFonts w:cs="Times New Roman"/>
          <w:sz w:val="28"/>
          <w:szCs w:val="28"/>
        </w:rPr>
        <w:t xml:space="preserve"> </w:t>
      </w:r>
      <w:r w:rsidRPr="008175AC">
        <w:rPr>
          <w:rFonts w:cs="Times New Roman"/>
          <w:i/>
          <w:sz w:val="28"/>
          <w:szCs w:val="28"/>
          <w:u w:val="single"/>
        </w:rPr>
        <w:t>In re</w:t>
      </w:r>
      <w:r w:rsidRPr="008175AC">
        <w:rPr>
          <w:rFonts w:cs="Times New Roman"/>
          <w:sz w:val="28"/>
          <w:szCs w:val="28"/>
          <w:u w:val="single"/>
        </w:rPr>
        <w:t xml:space="preserve"> Chil</w:t>
      </w:r>
      <w:r>
        <w:rPr>
          <w:rFonts w:cs="Times New Roman"/>
          <w:sz w:val="28"/>
          <w:szCs w:val="28"/>
          <w:u w:val="single"/>
        </w:rPr>
        <w:t>t</w:t>
      </w:r>
      <w:r w:rsidRPr="008175AC">
        <w:rPr>
          <w:rFonts w:cs="Times New Roman"/>
          <w:sz w:val="28"/>
          <w:szCs w:val="28"/>
          <w:u w:val="single"/>
        </w:rPr>
        <w:t>on</w:t>
      </w:r>
      <w:r w:rsidRPr="00821285">
        <w:rPr>
          <w:rFonts w:cs="Times New Roman"/>
          <w:sz w:val="28"/>
          <w:szCs w:val="28"/>
        </w:rPr>
        <w:t>, 2010 WL 817331 (Bankr. E.D. Tex. March 5, 2010).</w:t>
      </w:r>
    </w:p>
    <w:p w:rsidR="00840361" w:rsidRPr="00821285" w:rsidRDefault="00840361" w:rsidP="009E2201">
      <w:pPr>
        <w:pStyle w:val="Work4"/>
        <w:spacing w:after="0" w:line="480" w:lineRule="auto"/>
        <w:ind w:left="0" w:firstLine="2880"/>
        <w:jc w:val="both"/>
        <w:rPr>
          <w:rFonts w:cs="Times New Roman"/>
          <w:sz w:val="28"/>
          <w:szCs w:val="28"/>
        </w:rPr>
      </w:pPr>
      <w:r>
        <w:rPr>
          <w:rFonts w:cs="Times New Roman"/>
          <w:sz w:val="28"/>
          <w:szCs w:val="28"/>
        </w:rPr>
        <w:t xml:space="preserve">Four </w:t>
      </w:r>
      <w:r w:rsidRPr="00821285">
        <w:rPr>
          <w:rFonts w:cs="Times New Roman"/>
          <w:sz w:val="28"/>
          <w:szCs w:val="28"/>
        </w:rPr>
        <w:t xml:space="preserve">of the courts found that the inherited IRA </w:t>
      </w:r>
      <w:r w:rsidRPr="008175AC">
        <w:rPr>
          <w:rFonts w:cs="Times New Roman"/>
          <w:sz w:val="28"/>
          <w:szCs w:val="28"/>
          <w:u w:val="single"/>
        </w:rPr>
        <w:t>was</w:t>
      </w:r>
      <w:r w:rsidRPr="00821285">
        <w:rPr>
          <w:rFonts w:cs="Times New Roman"/>
          <w:sz w:val="28"/>
          <w:szCs w:val="28"/>
        </w:rPr>
        <w:t xml:space="preserve"> exempt in federal bankruptcy, those being: </w:t>
      </w:r>
      <w:r w:rsidRPr="008175AC">
        <w:rPr>
          <w:rFonts w:cs="Times New Roman"/>
          <w:i/>
          <w:sz w:val="28"/>
          <w:szCs w:val="28"/>
          <w:u w:val="single"/>
        </w:rPr>
        <w:t>In re</w:t>
      </w:r>
      <w:r w:rsidRPr="008175AC">
        <w:rPr>
          <w:rFonts w:cs="Times New Roman"/>
          <w:sz w:val="28"/>
          <w:szCs w:val="28"/>
          <w:u w:val="single"/>
        </w:rPr>
        <w:t xml:space="preserve"> McClelland</w:t>
      </w:r>
      <w:r w:rsidRPr="00821285">
        <w:rPr>
          <w:rFonts w:cs="Times New Roman"/>
          <w:sz w:val="28"/>
          <w:szCs w:val="28"/>
        </w:rPr>
        <w:t xml:space="preserve">, Bank No. 07-40300, 2008 WL 89901 (Bankr. D. Idaho Jan. 7, 2008); </w:t>
      </w:r>
      <w:r w:rsidRPr="008175AC">
        <w:rPr>
          <w:rFonts w:cs="Times New Roman"/>
          <w:i/>
          <w:sz w:val="28"/>
          <w:szCs w:val="28"/>
          <w:u w:val="single"/>
        </w:rPr>
        <w:t>In re</w:t>
      </w:r>
      <w:r w:rsidRPr="008175AC">
        <w:rPr>
          <w:rFonts w:cs="Times New Roman"/>
          <w:sz w:val="28"/>
          <w:szCs w:val="28"/>
          <w:u w:val="single"/>
        </w:rPr>
        <w:t xml:space="preserve"> Nessa</w:t>
      </w:r>
      <w:r w:rsidRPr="00821285">
        <w:rPr>
          <w:rFonts w:cs="Times New Roman"/>
          <w:sz w:val="28"/>
          <w:szCs w:val="28"/>
        </w:rPr>
        <w:t>, 2010 Bankr. Lexis 931 (B.A.P. 8</w:t>
      </w:r>
      <w:r w:rsidRPr="00821285">
        <w:rPr>
          <w:rFonts w:cs="Times New Roman"/>
          <w:sz w:val="28"/>
          <w:szCs w:val="28"/>
          <w:vertAlign w:val="superscript"/>
        </w:rPr>
        <w:t>th</w:t>
      </w:r>
      <w:r w:rsidRPr="00821285">
        <w:rPr>
          <w:rFonts w:cs="Times New Roman"/>
          <w:sz w:val="28"/>
          <w:szCs w:val="28"/>
        </w:rPr>
        <w:t xml:space="preserve"> Cir. Apr. 9, 2010); </w:t>
      </w:r>
      <w:r w:rsidRPr="008175AC">
        <w:rPr>
          <w:rFonts w:cs="Times New Roman"/>
          <w:i/>
          <w:sz w:val="28"/>
          <w:szCs w:val="28"/>
          <w:u w:val="single"/>
        </w:rPr>
        <w:t>In re</w:t>
      </w:r>
      <w:r>
        <w:rPr>
          <w:rFonts w:cs="Times New Roman"/>
          <w:sz w:val="28"/>
          <w:szCs w:val="28"/>
          <w:u w:val="single"/>
        </w:rPr>
        <w:t xml:space="preserve"> Tabo</w:t>
      </w:r>
      <w:r w:rsidRPr="008175AC">
        <w:rPr>
          <w:rFonts w:cs="Times New Roman"/>
          <w:sz w:val="28"/>
          <w:szCs w:val="28"/>
          <w:u w:val="single"/>
        </w:rPr>
        <w:t>r</w:t>
      </w:r>
      <w:r w:rsidRPr="00821285">
        <w:rPr>
          <w:rFonts w:cs="Times New Roman"/>
          <w:sz w:val="28"/>
          <w:szCs w:val="28"/>
        </w:rPr>
        <w:t>, 2010 105 AFTR 2d (Bankr. M</w:t>
      </w:r>
      <w:r>
        <w:rPr>
          <w:rFonts w:cs="Times New Roman"/>
          <w:sz w:val="28"/>
          <w:szCs w:val="28"/>
        </w:rPr>
        <w:t xml:space="preserve">.D. Pennsylvania June 18, 2010); and </w:t>
      </w:r>
      <w:r w:rsidRPr="008175AC">
        <w:rPr>
          <w:rFonts w:cs="Times New Roman"/>
          <w:i/>
          <w:sz w:val="28"/>
          <w:szCs w:val="28"/>
          <w:u w:val="single"/>
        </w:rPr>
        <w:t>In re</w:t>
      </w:r>
      <w:r w:rsidRPr="008175AC">
        <w:rPr>
          <w:rFonts w:cs="Times New Roman"/>
          <w:sz w:val="28"/>
          <w:szCs w:val="28"/>
          <w:u w:val="single"/>
        </w:rPr>
        <w:t xml:space="preserve"> Hamlin</w:t>
      </w:r>
      <w:r>
        <w:rPr>
          <w:rFonts w:cs="Times New Roman"/>
          <w:sz w:val="28"/>
          <w:szCs w:val="28"/>
        </w:rPr>
        <w:t>, 465 B.R. 863 (BAP 9</w:t>
      </w:r>
      <w:r w:rsidRPr="008175AC">
        <w:rPr>
          <w:rFonts w:cs="Times New Roman"/>
          <w:sz w:val="28"/>
          <w:szCs w:val="28"/>
          <w:vertAlign w:val="superscript"/>
        </w:rPr>
        <w:t>th</w:t>
      </w:r>
      <w:r>
        <w:rPr>
          <w:rFonts w:cs="Times New Roman"/>
          <w:sz w:val="28"/>
          <w:szCs w:val="28"/>
        </w:rPr>
        <w:t xml:space="preserve"> Cir. 2012).</w:t>
      </w:r>
    </w:p>
    <w:p w:rsidR="00840361" w:rsidRPr="00821285" w:rsidRDefault="00840361" w:rsidP="009E2201">
      <w:pPr>
        <w:pStyle w:val="Work4"/>
        <w:spacing w:after="0" w:line="480" w:lineRule="auto"/>
        <w:ind w:left="0" w:firstLine="2880"/>
        <w:jc w:val="both"/>
        <w:rPr>
          <w:rFonts w:cs="Times New Roman"/>
          <w:sz w:val="28"/>
          <w:szCs w:val="28"/>
        </w:rPr>
      </w:pPr>
      <w:r>
        <w:rPr>
          <w:rFonts w:cs="Times New Roman"/>
          <w:sz w:val="28"/>
          <w:szCs w:val="28"/>
        </w:rPr>
        <w:t>T</w:t>
      </w:r>
      <w:r w:rsidRPr="00821285">
        <w:rPr>
          <w:rFonts w:cs="Times New Roman"/>
          <w:sz w:val="28"/>
          <w:szCs w:val="28"/>
        </w:rPr>
        <w:t xml:space="preserve">he </w:t>
      </w:r>
      <w:r w:rsidRPr="00821285">
        <w:rPr>
          <w:rFonts w:cs="Times New Roman"/>
          <w:sz w:val="28"/>
          <w:szCs w:val="28"/>
          <w:u w:val="single"/>
        </w:rPr>
        <w:t>Nessa</w:t>
      </w:r>
      <w:r w:rsidRPr="00821285">
        <w:rPr>
          <w:rFonts w:cs="Times New Roman"/>
          <w:sz w:val="28"/>
          <w:szCs w:val="28"/>
        </w:rPr>
        <w:t xml:space="preserve"> decision </w:t>
      </w:r>
      <w:r>
        <w:rPr>
          <w:rFonts w:cs="Times New Roman"/>
          <w:sz w:val="28"/>
          <w:szCs w:val="28"/>
        </w:rPr>
        <w:t xml:space="preserve">(in a non-opt-out state) </w:t>
      </w:r>
      <w:r w:rsidRPr="00821285">
        <w:rPr>
          <w:rFonts w:cs="Times New Roman"/>
          <w:sz w:val="28"/>
          <w:szCs w:val="28"/>
        </w:rPr>
        <w:t>led many district courts</w:t>
      </w:r>
      <w:r>
        <w:rPr>
          <w:rFonts w:cs="Times New Roman"/>
          <w:sz w:val="28"/>
          <w:szCs w:val="28"/>
        </w:rPr>
        <w:t xml:space="preserve">, in unreported decisions, </w:t>
      </w:r>
      <w:r w:rsidRPr="00821285">
        <w:rPr>
          <w:rFonts w:cs="Times New Roman"/>
          <w:sz w:val="28"/>
          <w:szCs w:val="28"/>
        </w:rPr>
        <w:t>to allow the inherited IRA to be an exempt asset</w:t>
      </w:r>
      <w:r>
        <w:rPr>
          <w:rFonts w:cs="Times New Roman"/>
          <w:sz w:val="28"/>
          <w:szCs w:val="28"/>
        </w:rPr>
        <w:t>,</w:t>
      </w:r>
      <w:r w:rsidRPr="00821285">
        <w:rPr>
          <w:rFonts w:cs="Times New Roman"/>
          <w:sz w:val="28"/>
          <w:szCs w:val="28"/>
        </w:rPr>
        <w:t xml:space="preserve"> until </w:t>
      </w:r>
      <w:r w:rsidRPr="00821285">
        <w:rPr>
          <w:rFonts w:cs="Times New Roman"/>
          <w:sz w:val="28"/>
          <w:szCs w:val="28"/>
          <w:u w:val="single"/>
        </w:rPr>
        <w:t>Clark</w:t>
      </w:r>
      <w:r w:rsidRPr="00821285">
        <w:rPr>
          <w:rFonts w:cs="Times New Roman"/>
          <w:sz w:val="28"/>
          <w:szCs w:val="28"/>
        </w:rPr>
        <w:t xml:space="preserve"> came along.</w:t>
      </w:r>
    </w:p>
    <w:p w:rsidR="00840361" w:rsidRPr="00821285" w:rsidRDefault="00840361" w:rsidP="009E2201">
      <w:pPr>
        <w:pStyle w:val="Work2"/>
        <w:spacing w:after="0" w:line="480" w:lineRule="auto"/>
        <w:ind w:left="0" w:firstLine="1440"/>
        <w:jc w:val="both"/>
        <w:rPr>
          <w:rFonts w:cs="Times New Roman"/>
          <w:sz w:val="28"/>
          <w:szCs w:val="28"/>
        </w:rPr>
      </w:pPr>
      <w:r>
        <w:rPr>
          <w:rFonts w:cs="Times New Roman"/>
          <w:sz w:val="28"/>
          <w:szCs w:val="28"/>
        </w:rPr>
        <w:t>Some state</w:t>
      </w:r>
      <w:r w:rsidRPr="00821285">
        <w:rPr>
          <w:rFonts w:cs="Times New Roman"/>
          <w:sz w:val="28"/>
          <w:szCs w:val="28"/>
        </w:rPr>
        <w:t>s</w:t>
      </w:r>
      <w:r>
        <w:rPr>
          <w:rFonts w:cs="Times New Roman"/>
          <w:sz w:val="28"/>
          <w:szCs w:val="28"/>
        </w:rPr>
        <w:t>’</w:t>
      </w:r>
      <w:r w:rsidRPr="00821285">
        <w:rPr>
          <w:rFonts w:cs="Times New Roman"/>
          <w:sz w:val="28"/>
          <w:szCs w:val="28"/>
        </w:rPr>
        <w:t xml:space="preserve"> statutes provide a different result</w:t>
      </w:r>
      <w:r>
        <w:rPr>
          <w:rFonts w:cs="Times New Roman"/>
          <w:sz w:val="28"/>
          <w:szCs w:val="28"/>
        </w:rPr>
        <w:t xml:space="preserve"> than </w:t>
      </w:r>
      <w:r w:rsidRPr="000D0D48">
        <w:rPr>
          <w:rFonts w:cs="Times New Roman"/>
          <w:sz w:val="28"/>
          <w:szCs w:val="28"/>
          <w:u w:val="single"/>
        </w:rPr>
        <w:t>Clark</w:t>
      </w:r>
      <w:r w:rsidRPr="00821285">
        <w:rPr>
          <w:rFonts w:cs="Times New Roman"/>
          <w:sz w:val="28"/>
          <w:szCs w:val="28"/>
        </w:rPr>
        <w:t>.</w:t>
      </w:r>
    </w:p>
    <w:p w:rsidR="00840361" w:rsidRDefault="00840361" w:rsidP="00E35818">
      <w:pPr>
        <w:pStyle w:val="Work3"/>
        <w:spacing w:after="0" w:line="480" w:lineRule="auto"/>
        <w:ind w:left="0" w:firstLine="2160"/>
        <w:jc w:val="both"/>
        <w:rPr>
          <w:rFonts w:cs="Times New Roman"/>
          <w:sz w:val="28"/>
          <w:szCs w:val="28"/>
        </w:rPr>
      </w:pPr>
      <w:r w:rsidRPr="00821285">
        <w:rPr>
          <w:rFonts w:cs="Times New Roman"/>
          <w:sz w:val="28"/>
          <w:szCs w:val="28"/>
        </w:rPr>
        <w:t>In some</w:t>
      </w:r>
      <w:r>
        <w:rPr>
          <w:rFonts w:cs="Times New Roman"/>
          <w:sz w:val="28"/>
          <w:szCs w:val="28"/>
        </w:rPr>
        <w:t xml:space="preserve"> opt-out</w:t>
      </w:r>
      <w:r w:rsidRPr="00821285">
        <w:rPr>
          <w:rFonts w:cs="Times New Roman"/>
          <w:sz w:val="28"/>
          <w:szCs w:val="28"/>
        </w:rPr>
        <w:t xml:space="preserve"> states, the interpretation of existing statutes </w:t>
      </w:r>
      <w:r>
        <w:rPr>
          <w:rFonts w:cs="Times New Roman"/>
          <w:sz w:val="28"/>
          <w:szCs w:val="28"/>
        </w:rPr>
        <w:t xml:space="preserve">with broad exemption language </w:t>
      </w:r>
      <w:r w:rsidRPr="00821285">
        <w:rPr>
          <w:rFonts w:cs="Times New Roman"/>
          <w:sz w:val="28"/>
          <w:szCs w:val="28"/>
        </w:rPr>
        <w:t xml:space="preserve">may allow the exemption of inherited IRAs </w:t>
      </w:r>
      <w:r w:rsidRPr="00821285">
        <w:rPr>
          <w:rFonts w:cs="Times New Roman"/>
          <w:sz w:val="28"/>
          <w:szCs w:val="28"/>
        </w:rPr>
        <w:lastRenderedPageBreak/>
        <w:t xml:space="preserve">for state exemption purposes, and state exemptions are recognized under </w:t>
      </w:r>
      <w:r>
        <w:rPr>
          <w:rFonts w:cs="Times New Roman"/>
          <w:sz w:val="28"/>
          <w:szCs w:val="28"/>
        </w:rPr>
        <w:t>U.S. B</w:t>
      </w:r>
      <w:r w:rsidRPr="00821285">
        <w:rPr>
          <w:rFonts w:cs="Times New Roman"/>
          <w:sz w:val="28"/>
          <w:szCs w:val="28"/>
        </w:rPr>
        <w:t xml:space="preserve">ankruptcy </w:t>
      </w:r>
      <w:r>
        <w:rPr>
          <w:rFonts w:cs="Times New Roman"/>
          <w:sz w:val="28"/>
          <w:szCs w:val="28"/>
        </w:rPr>
        <w:t>Code § </w:t>
      </w:r>
      <w:r w:rsidRPr="00821285">
        <w:rPr>
          <w:rFonts w:cs="Times New Roman"/>
          <w:sz w:val="28"/>
          <w:szCs w:val="28"/>
        </w:rPr>
        <w:t xml:space="preserve">522(b)(3)(A).  </w:t>
      </w:r>
    </w:p>
    <w:p w:rsidR="00D169DE" w:rsidRDefault="00902505" w:rsidP="009E2201">
      <w:pPr>
        <w:pStyle w:val="Work4"/>
        <w:spacing w:after="0" w:line="480" w:lineRule="auto"/>
        <w:ind w:left="0" w:firstLine="2880"/>
        <w:jc w:val="both"/>
        <w:rPr>
          <w:sz w:val="28"/>
          <w:szCs w:val="28"/>
        </w:rPr>
      </w:pPr>
      <w:r w:rsidRPr="0051078F">
        <w:rPr>
          <w:sz w:val="28"/>
          <w:szCs w:val="28"/>
        </w:rPr>
        <w:t>The state of</w:t>
      </w:r>
      <w:r w:rsidR="0051078F">
        <w:rPr>
          <w:sz w:val="28"/>
          <w:szCs w:val="28"/>
        </w:rPr>
        <w:t xml:space="preserve"> Kansas has such a broad statute which could arguably be construed to exempt inherited IRAs.</w:t>
      </w:r>
    </w:p>
    <w:p w:rsidR="0051078F" w:rsidRPr="0051078F" w:rsidRDefault="0051078F" w:rsidP="009E2201">
      <w:pPr>
        <w:pStyle w:val="Work4"/>
        <w:spacing w:after="0" w:line="480" w:lineRule="auto"/>
        <w:ind w:left="0" w:firstLine="2880"/>
        <w:jc w:val="both"/>
        <w:rPr>
          <w:sz w:val="28"/>
          <w:szCs w:val="28"/>
        </w:rPr>
      </w:pPr>
      <w:r>
        <w:rPr>
          <w:sz w:val="28"/>
          <w:szCs w:val="28"/>
        </w:rPr>
        <w:t xml:space="preserve">However, in </w:t>
      </w:r>
      <w:r w:rsidRPr="0051078F">
        <w:rPr>
          <w:sz w:val="28"/>
          <w:szCs w:val="28"/>
          <w:u w:val="single"/>
        </w:rPr>
        <w:t>Mosby v. Clark</w:t>
      </w:r>
      <w:r w:rsidRPr="00844630">
        <w:rPr>
          <w:sz w:val="28"/>
          <w:szCs w:val="28"/>
          <w:u w:val="single"/>
        </w:rPr>
        <w:t xml:space="preserve"> </w:t>
      </w:r>
      <w:r w:rsidR="00844630" w:rsidRPr="00844630">
        <w:rPr>
          <w:sz w:val="28"/>
          <w:szCs w:val="28"/>
          <w:u w:val="single"/>
        </w:rPr>
        <w:t>(I</w:t>
      </w:r>
      <w:r w:rsidR="00236C59">
        <w:rPr>
          <w:sz w:val="28"/>
          <w:szCs w:val="28"/>
          <w:u w:val="single"/>
        </w:rPr>
        <w:t>n</w:t>
      </w:r>
      <w:r w:rsidR="00844630" w:rsidRPr="00844630">
        <w:rPr>
          <w:sz w:val="28"/>
          <w:szCs w:val="28"/>
          <w:u w:val="single"/>
        </w:rPr>
        <w:t xml:space="preserve"> Re Mosby)</w:t>
      </w:r>
      <w:r w:rsidR="00844630">
        <w:rPr>
          <w:sz w:val="28"/>
          <w:szCs w:val="28"/>
        </w:rPr>
        <w:t>, 15-5193-JWL</w:t>
      </w:r>
      <w:r w:rsidR="00B05314">
        <w:rPr>
          <w:sz w:val="28"/>
          <w:szCs w:val="28"/>
        </w:rPr>
        <w:t xml:space="preserve"> </w:t>
      </w:r>
      <w:r w:rsidR="00844630">
        <w:rPr>
          <w:sz w:val="28"/>
          <w:szCs w:val="28"/>
        </w:rPr>
        <w:t>(D Kan. Oct. 30, 2015)</w:t>
      </w:r>
      <w:r w:rsidR="00B05314">
        <w:rPr>
          <w:sz w:val="28"/>
          <w:szCs w:val="28"/>
        </w:rPr>
        <w:t>, the Kansas District Court held that an inherited IRA is not exempt under the Kansas exemption statute.</w:t>
      </w:r>
    </w:p>
    <w:p w:rsidR="00840361" w:rsidRDefault="00840361" w:rsidP="00E35818">
      <w:pPr>
        <w:pStyle w:val="Work3"/>
        <w:spacing w:after="0" w:line="480" w:lineRule="auto"/>
        <w:ind w:left="0" w:firstLine="2160"/>
        <w:jc w:val="both"/>
        <w:rPr>
          <w:rFonts w:cs="Times New Roman"/>
          <w:sz w:val="28"/>
          <w:szCs w:val="28"/>
        </w:rPr>
      </w:pPr>
      <w:r w:rsidRPr="00821285">
        <w:rPr>
          <w:rFonts w:cs="Times New Roman"/>
          <w:sz w:val="28"/>
          <w:szCs w:val="28"/>
        </w:rPr>
        <w:t xml:space="preserve">In my home state of Missouri, along with Alaska, Arizona, Florida and Texas, the </w:t>
      </w:r>
      <w:r w:rsidRPr="00821285">
        <w:rPr>
          <w:rFonts w:cs="Times New Roman"/>
          <w:sz w:val="28"/>
          <w:szCs w:val="28"/>
          <w:u w:val="single"/>
        </w:rPr>
        <w:t>Clark</w:t>
      </w:r>
      <w:r w:rsidRPr="00821285">
        <w:rPr>
          <w:rFonts w:cs="Times New Roman"/>
          <w:sz w:val="28"/>
          <w:szCs w:val="28"/>
        </w:rPr>
        <w:t xml:space="preserve"> holding is </w:t>
      </w:r>
      <w:r>
        <w:rPr>
          <w:rFonts w:cs="Times New Roman"/>
          <w:sz w:val="28"/>
          <w:szCs w:val="28"/>
        </w:rPr>
        <w:t xml:space="preserve">completely </w:t>
      </w:r>
      <w:r w:rsidRPr="00821285">
        <w:rPr>
          <w:rFonts w:cs="Times New Roman"/>
          <w:sz w:val="28"/>
          <w:szCs w:val="28"/>
        </w:rPr>
        <w:t xml:space="preserve">irrelevant, as these states have statutes which specifically exempt inherited IRAs for state exemption purposes </w:t>
      </w:r>
      <w:r w:rsidRPr="000D0D48">
        <w:rPr>
          <w:rFonts w:cs="Times New Roman"/>
          <w:sz w:val="28"/>
          <w:szCs w:val="28"/>
          <w:u w:val="single"/>
        </w:rPr>
        <w:t>and</w:t>
      </w:r>
      <w:r w:rsidRPr="00821285">
        <w:rPr>
          <w:rFonts w:cs="Times New Roman"/>
          <w:sz w:val="28"/>
          <w:szCs w:val="28"/>
        </w:rPr>
        <w:t xml:space="preserve"> have opted to use the state exemptions for </w:t>
      </w:r>
      <w:r>
        <w:rPr>
          <w:rFonts w:cs="Times New Roman"/>
          <w:sz w:val="28"/>
          <w:szCs w:val="28"/>
        </w:rPr>
        <w:t xml:space="preserve">federal </w:t>
      </w:r>
      <w:r w:rsidRPr="00821285">
        <w:rPr>
          <w:rFonts w:cs="Times New Roman"/>
          <w:sz w:val="28"/>
          <w:szCs w:val="28"/>
        </w:rPr>
        <w:t>bankruptcy law purposes.  Attached hereto is</w:t>
      </w:r>
      <w:r>
        <w:rPr>
          <w:rFonts w:cs="Times New Roman"/>
          <w:sz w:val="28"/>
          <w:szCs w:val="28"/>
        </w:rPr>
        <w:t xml:space="preserve"> a copy of the Missouri statute, RSMo. § 513.430.1(10)(f) </w:t>
      </w:r>
      <w:r w:rsidRPr="00821285">
        <w:rPr>
          <w:rFonts w:cs="Times New Roman"/>
          <w:sz w:val="28"/>
          <w:szCs w:val="28"/>
        </w:rPr>
        <w:t xml:space="preserve">(although </w:t>
      </w:r>
      <w:r>
        <w:rPr>
          <w:rFonts w:cs="Times New Roman"/>
          <w:sz w:val="28"/>
          <w:szCs w:val="28"/>
        </w:rPr>
        <w:t xml:space="preserve">“drafted” </w:t>
      </w:r>
      <w:r w:rsidRPr="00821285">
        <w:rPr>
          <w:rFonts w:cs="Times New Roman"/>
          <w:sz w:val="28"/>
          <w:szCs w:val="28"/>
        </w:rPr>
        <w:t xml:space="preserve">by yours truly, it is </w:t>
      </w:r>
      <w:r>
        <w:rPr>
          <w:rFonts w:cs="Times New Roman"/>
          <w:sz w:val="28"/>
          <w:szCs w:val="28"/>
        </w:rPr>
        <w:t xml:space="preserve">admittedly </w:t>
      </w:r>
      <w:r w:rsidRPr="00821285">
        <w:rPr>
          <w:rFonts w:cs="Times New Roman"/>
          <w:sz w:val="28"/>
          <w:szCs w:val="28"/>
        </w:rPr>
        <w:t xml:space="preserve">a combination of </w:t>
      </w:r>
      <w:r>
        <w:rPr>
          <w:rFonts w:cs="Times New Roman"/>
          <w:sz w:val="28"/>
          <w:szCs w:val="28"/>
        </w:rPr>
        <w:t xml:space="preserve">some of the language in </w:t>
      </w:r>
      <w:r w:rsidRPr="00821285">
        <w:rPr>
          <w:rFonts w:cs="Times New Roman"/>
          <w:sz w:val="28"/>
          <w:szCs w:val="28"/>
        </w:rPr>
        <w:t>the previously existing statutes in Florida and Arizona).</w:t>
      </w:r>
    </w:p>
    <w:p w:rsidR="00840361" w:rsidRPr="008644DE" w:rsidRDefault="00840361" w:rsidP="00E35818">
      <w:pPr>
        <w:pStyle w:val="Work3"/>
        <w:spacing w:line="480" w:lineRule="auto"/>
        <w:ind w:left="0" w:firstLine="2160"/>
        <w:jc w:val="both"/>
        <w:rPr>
          <w:rFonts w:cs="Times New Roman"/>
          <w:sz w:val="28"/>
          <w:szCs w:val="28"/>
        </w:rPr>
      </w:pPr>
      <w:r>
        <w:rPr>
          <w:rFonts w:cs="Times New Roman"/>
          <w:sz w:val="28"/>
          <w:szCs w:val="28"/>
        </w:rPr>
        <w:t>In a post-</w:t>
      </w:r>
      <w:r>
        <w:rPr>
          <w:rFonts w:cs="Times New Roman"/>
          <w:sz w:val="28"/>
          <w:szCs w:val="28"/>
          <w:u w:val="single"/>
        </w:rPr>
        <w:t>Clark</w:t>
      </w:r>
      <w:r>
        <w:rPr>
          <w:rFonts w:cs="Times New Roman"/>
          <w:sz w:val="28"/>
          <w:szCs w:val="28"/>
        </w:rPr>
        <w:t xml:space="preserve"> decision, the federal Bankruptcy Court in New Jersey held that a debtor’s inherited IRA was </w:t>
      </w:r>
      <w:r>
        <w:rPr>
          <w:rFonts w:cs="Times New Roman"/>
          <w:sz w:val="28"/>
          <w:szCs w:val="28"/>
          <w:u w:val="single"/>
        </w:rPr>
        <w:t>not</w:t>
      </w:r>
      <w:r>
        <w:rPr>
          <w:rFonts w:cs="Times New Roman"/>
          <w:sz w:val="28"/>
          <w:szCs w:val="28"/>
        </w:rPr>
        <w:t xml:space="preserve"> property of the bankruptcy estate under New Jersey law.  </w:t>
      </w:r>
      <w:r w:rsidRPr="00063B0A">
        <w:rPr>
          <w:rFonts w:cs="Times New Roman"/>
          <w:i/>
          <w:sz w:val="28"/>
          <w:szCs w:val="28"/>
          <w:u w:val="single"/>
        </w:rPr>
        <w:t xml:space="preserve">In re </w:t>
      </w:r>
      <w:r>
        <w:rPr>
          <w:rFonts w:cs="Times New Roman"/>
          <w:sz w:val="28"/>
          <w:szCs w:val="28"/>
          <w:u w:val="single"/>
        </w:rPr>
        <w:t>Andolino</w:t>
      </w:r>
      <w:r>
        <w:rPr>
          <w:rFonts w:cs="Times New Roman"/>
          <w:sz w:val="28"/>
          <w:szCs w:val="28"/>
        </w:rPr>
        <w:t>, 525 B.R. 588 (B</w:t>
      </w:r>
      <w:r w:rsidRPr="008644DE">
        <w:rPr>
          <w:rFonts w:cs="Times New Roman"/>
          <w:sz w:val="28"/>
          <w:szCs w:val="28"/>
        </w:rPr>
        <w:t xml:space="preserve">ankr. D.N.J. 2015).  The Bankruptcy Court stated that the question of </w:t>
      </w:r>
      <w:r w:rsidRPr="008644DE">
        <w:rPr>
          <w:rFonts w:cs="Times New Roman"/>
          <w:sz w:val="28"/>
          <w:szCs w:val="28"/>
          <w:u w:val="single"/>
        </w:rPr>
        <w:t>inclusion</w:t>
      </w:r>
      <w:r w:rsidRPr="008644DE">
        <w:rPr>
          <w:rFonts w:cs="Times New Roman"/>
          <w:sz w:val="28"/>
          <w:szCs w:val="28"/>
        </w:rPr>
        <w:t xml:space="preserve"> in the estate must be reached first, before the </w:t>
      </w:r>
      <w:r w:rsidRPr="008644DE">
        <w:rPr>
          <w:rFonts w:cs="Times New Roman"/>
          <w:sz w:val="28"/>
          <w:szCs w:val="28"/>
          <w:u w:val="single"/>
        </w:rPr>
        <w:t>Clark</w:t>
      </w:r>
      <w:r w:rsidRPr="008644DE">
        <w:rPr>
          <w:rFonts w:cs="Times New Roman"/>
          <w:sz w:val="28"/>
          <w:szCs w:val="28"/>
        </w:rPr>
        <w:t xml:space="preserve"> analysis of the application of an </w:t>
      </w:r>
      <w:r w:rsidRPr="008644DE">
        <w:rPr>
          <w:rFonts w:cs="Times New Roman"/>
          <w:sz w:val="28"/>
          <w:szCs w:val="28"/>
          <w:u w:val="single"/>
        </w:rPr>
        <w:t>exemption</w:t>
      </w:r>
      <w:r w:rsidRPr="008644DE">
        <w:rPr>
          <w:rFonts w:cs="Times New Roman"/>
          <w:sz w:val="28"/>
          <w:szCs w:val="28"/>
        </w:rPr>
        <w:t xml:space="preserve"> can be made.</w:t>
      </w:r>
    </w:p>
    <w:p w:rsidR="00840361" w:rsidRPr="00821285" w:rsidRDefault="00840361" w:rsidP="009E2201">
      <w:pPr>
        <w:pStyle w:val="Work2"/>
        <w:spacing w:after="0" w:line="480" w:lineRule="auto"/>
        <w:ind w:left="0" w:firstLine="1440"/>
        <w:jc w:val="both"/>
        <w:rPr>
          <w:rFonts w:cs="Times New Roman"/>
          <w:sz w:val="28"/>
          <w:szCs w:val="28"/>
        </w:rPr>
      </w:pPr>
      <w:r w:rsidRPr="008644DE">
        <w:rPr>
          <w:rFonts w:cs="Times New Roman"/>
          <w:sz w:val="28"/>
          <w:szCs w:val="28"/>
        </w:rPr>
        <w:lastRenderedPageBreak/>
        <w:t>Use of spendthrift trusts as an alternativ</w:t>
      </w:r>
      <w:r w:rsidRPr="00821285">
        <w:rPr>
          <w:rFonts w:cs="Times New Roman"/>
          <w:sz w:val="28"/>
          <w:szCs w:val="28"/>
        </w:rPr>
        <w:t>e asset protection device.</w:t>
      </w:r>
    </w:p>
    <w:p w:rsidR="00840361" w:rsidRPr="00821285" w:rsidRDefault="00840361" w:rsidP="00E35818">
      <w:pPr>
        <w:pStyle w:val="Work3"/>
        <w:spacing w:after="0" w:line="480" w:lineRule="auto"/>
        <w:ind w:left="0" w:firstLine="2160"/>
        <w:jc w:val="both"/>
        <w:rPr>
          <w:rFonts w:cs="Times New Roman"/>
          <w:sz w:val="28"/>
          <w:szCs w:val="28"/>
        </w:rPr>
      </w:pPr>
      <w:r w:rsidRPr="00821285">
        <w:rPr>
          <w:rFonts w:cs="Times New Roman"/>
          <w:sz w:val="28"/>
          <w:szCs w:val="28"/>
        </w:rPr>
        <w:t xml:space="preserve">If you are in a state where the applicable exemption is either indefinite or not existent, you should consider naming a spendthrift trust for the benefit of </w:t>
      </w:r>
      <w:r>
        <w:rPr>
          <w:rFonts w:cs="Times New Roman"/>
          <w:sz w:val="28"/>
          <w:szCs w:val="28"/>
        </w:rPr>
        <w:t xml:space="preserve">any </w:t>
      </w:r>
      <w:r w:rsidRPr="00821285">
        <w:rPr>
          <w:rFonts w:cs="Times New Roman"/>
          <w:sz w:val="28"/>
          <w:szCs w:val="28"/>
        </w:rPr>
        <w:t>beneficiary with creditor issues as the beneficiary of the IRA.</w:t>
      </w:r>
      <w:r>
        <w:rPr>
          <w:rFonts w:cs="Times New Roman"/>
          <w:sz w:val="28"/>
          <w:szCs w:val="28"/>
        </w:rPr>
        <w:t xml:space="preserve"> </w:t>
      </w:r>
    </w:p>
    <w:p w:rsidR="00840361" w:rsidRDefault="00840361" w:rsidP="00E35818">
      <w:pPr>
        <w:pStyle w:val="Work3"/>
        <w:spacing w:after="0" w:line="480" w:lineRule="auto"/>
        <w:ind w:left="0" w:firstLine="2160"/>
        <w:jc w:val="both"/>
        <w:rPr>
          <w:rFonts w:cs="Times New Roman"/>
          <w:sz w:val="28"/>
          <w:szCs w:val="28"/>
        </w:rPr>
      </w:pPr>
      <w:r w:rsidRPr="00821285">
        <w:rPr>
          <w:rFonts w:cs="Times New Roman"/>
          <w:sz w:val="28"/>
          <w:szCs w:val="28"/>
        </w:rPr>
        <w:t xml:space="preserve">However, if the RMD amount </w:t>
      </w:r>
      <w:r>
        <w:rPr>
          <w:rFonts w:cs="Times New Roman"/>
          <w:sz w:val="28"/>
          <w:szCs w:val="28"/>
        </w:rPr>
        <w:t xml:space="preserve">received by the trust </w:t>
      </w:r>
      <w:r w:rsidRPr="00821285">
        <w:rPr>
          <w:rFonts w:cs="Times New Roman"/>
          <w:sz w:val="28"/>
          <w:szCs w:val="28"/>
        </w:rPr>
        <w:t xml:space="preserve">must be distributed from the trust (i.e. in a conduit trust), the </w:t>
      </w:r>
      <w:r>
        <w:rPr>
          <w:rFonts w:cs="Times New Roman"/>
          <w:sz w:val="28"/>
          <w:szCs w:val="28"/>
        </w:rPr>
        <w:t>U</w:t>
      </w:r>
      <w:r w:rsidRPr="00821285">
        <w:rPr>
          <w:rFonts w:cs="Times New Roman"/>
          <w:sz w:val="28"/>
          <w:szCs w:val="28"/>
        </w:rPr>
        <w:t xml:space="preserve">niform </w:t>
      </w:r>
      <w:r>
        <w:rPr>
          <w:rFonts w:cs="Times New Roman"/>
          <w:sz w:val="28"/>
          <w:szCs w:val="28"/>
        </w:rPr>
        <w:t>T</w:t>
      </w:r>
      <w:r w:rsidRPr="00821285">
        <w:rPr>
          <w:rFonts w:cs="Times New Roman"/>
          <w:sz w:val="28"/>
          <w:szCs w:val="28"/>
        </w:rPr>
        <w:t xml:space="preserve">rust </w:t>
      </w:r>
      <w:r>
        <w:rPr>
          <w:rFonts w:cs="Times New Roman"/>
          <w:sz w:val="28"/>
          <w:szCs w:val="28"/>
        </w:rPr>
        <w:t>C</w:t>
      </w:r>
      <w:r w:rsidRPr="00821285">
        <w:rPr>
          <w:rFonts w:cs="Times New Roman"/>
          <w:sz w:val="28"/>
          <w:szCs w:val="28"/>
        </w:rPr>
        <w:t>ode reverses the common law spendthrift protection for this type of a distribution interest and allows any creditor to attach the RMD amount from a spendthrift trust.</w:t>
      </w:r>
    </w:p>
    <w:p w:rsidR="00840361" w:rsidRPr="009A5727" w:rsidRDefault="00840361" w:rsidP="00E35818">
      <w:pPr>
        <w:pStyle w:val="Work3"/>
        <w:spacing w:after="0" w:line="480" w:lineRule="auto"/>
        <w:ind w:left="0" w:firstLine="2160"/>
        <w:jc w:val="both"/>
        <w:rPr>
          <w:rFonts w:cs="Times New Roman"/>
          <w:sz w:val="28"/>
          <w:szCs w:val="28"/>
        </w:rPr>
      </w:pPr>
      <w:r>
        <w:rPr>
          <w:rFonts w:cs="Times New Roman"/>
          <w:sz w:val="28"/>
          <w:szCs w:val="28"/>
        </w:rPr>
        <w:t>As an alternative, consider a “Trusteed IRA.”  If the provider offers a Trusteed IRA, and the Trusteed IRA agreement contains a spendthrift clause, then creditor protection should be accomplished.</w:t>
      </w:r>
    </w:p>
    <w:p w:rsidR="00840361" w:rsidRPr="00BE7923" w:rsidRDefault="00840361" w:rsidP="009E2201">
      <w:pPr>
        <w:pStyle w:val="Work1"/>
        <w:spacing w:after="0" w:line="480" w:lineRule="auto"/>
        <w:ind w:left="0" w:firstLine="720"/>
        <w:jc w:val="both"/>
        <w:rPr>
          <w:rFonts w:cs="Times New Roman"/>
          <w:w w:val="103"/>
          <w:sz w:val="28"/>
          <w:szCs w:val="28"/>
        </w:rPr>
      </w:pPr>
      <w:r w:rsidRPr="00BE7923">
        <w:rPr>
          <w:rFonts w:cs="Times New Roman"/>
          <w:w w:val="103"/>
          <w:sz w:val="28"/>
          <w:szCs w:val="28"/>
        </w:rPr>
        <w:t>IRA OWNERS/RETIREMENT PLAN ADMINISTRATORS BEHAVING BADLY</w:t>
      </w:r>
    </w:p>
    <w:p w:rsidR="00840361" w:rsidRPr="00BE7923" w:rsidRDefault="00840361" w:rsidP="009E2201">
      <w:pPr>
        <w:pStyle w:val="Work2"/>
        <w:spacing w:after="0" w:line="480" w:lineRule="auto"/>
        <w:ind w:left="0" w:firstLine="1440"/>
        <w:jc w:val="both"/>
        <w:rPr>
          <w:w w:val="103"/>
          <w:sz w:val="28"/>
          <w:szCs w:val="28"/>
        </w:rPr>
      </w:pPr>
      <w:r w:rsidRPr="00BE7923">
        <w:rPr>
          <w:w w:val="103"/>
          <w:sz w:val="28"/>
          <w:szCs w:val="28"/>
        </w:rPr>
        <w:t>Prohibited transactions disqualifying an IRA from recognition as such.</w:t>
      </w:r>
    </w:p>
    <w:p w:rsidR="00840361" w:rsidRPr="002032DC" w:rsidRDefault="00840361" w:rsidP="00E35818">
      <w:pPr>
        <w:pStyle w:val="Work3"/>
        <w:spacing w:after="0" w:line="480" w:lineRule="auto"/>
        <w:ind w:left="0" w:firstLine="2160"/>
        <w:jc w:val="both"/>
        <w:rPr>
          <w:w w:val="103"/>
          <w:sz w:val="28"/>
          <w:szCs w:val="28"/>
        </w:rPr>
      </w:pPr>
      <w:r w:rsidRPr="002032DC">
        <w:rPr>
          <w:sz w:val="28"/>
          <w:szCs w:val="28"/>
        </w:rPr>
        <w:t>As discussed previously, IRAs are tax exempt as well as exempt from bankruptcy proceedings. However, when an IRA engages in a prohibited transaction, those exemptions are lost. One prohibited transaction occurs when an IRA is transferred to, or used by or for the benefit of, a disqualified person.</w:t>
      </w:r>
    </w:p>
    <w:p w:rsidR="00840361" w:rsidRPr="00BE7923" w:rsidRDefault="00840361" w:rsidP="00E35818">
      <w:pPr>
        <w:pStyle w:val="Work3"/>
        <w:spacing w:after="0" w:line="480" w:lineRule="auto"/>
        <w:ind w:left="0" w:firstLine="2160"/>
        <w:jc w:val="both"/>
        <w:rPr>
          <w:w w:val="103"/>
          <w:sz w:val="28"/>
          <w:szCs w:val="28"/>
        </w:rPr>
      </w:pPr>
      <w:r w:rsidRPr="002032DC">
        <w:rPr>
          <w:w w:val="103"/>
          <w:sz w:val="28"/>
          <w:szCs w:val="28"/>
        </w:rPr>
        <w:lastRenderedPageBreak/>
        <w:t xml:space="preserve">In </w:t>
      </w:r>
      <w:r w:rsidRPr="002032DC">
        <w:rPr>
          <w:w w:val="103"/>
          <w:sz w:val="28"/>
          <w:szCs w:val="28"/>
          <w:u w:val="single"/>
        </w:rPr>
        <w:t>Ellis v. Commissioner</w:t>
      </w:r>
      <w:r w:rsidRPr="002032DC">
        <w:rPr>
          <w:w w:val="103"/>
          <w:sz w:val="28"/>
          <w:szCs w:val="28"/>
        </w:rPr>
        <w:t>, Decision No. 14-1310, (8</w:t>
      </w:r>
      <w:r w:rsidRPr="002032DC">
        <w:rPr>
          <w:w w:val="103"/>
          <w:sz w:val="28"/>
          <w:szCs w:val="28"/>
          <w:vertAlign w:val="superscript"/>
        </w:rPr>
        <w:t>th</w:t>
      </w:r>
      <w:r w:rsidRPr="002032DC">
        <w:rPr>
          <w:w w:val="103"/>
          <w:sz w:val="28"/>
          <w:szCs w:val="28"/>
        </w:rPr>
        <w:t xml:space="preserve"> Cir. June 5, 2015), the 8</w:t>
      </w:r>
      <w:r w:rsidRPr="002032DC">
        <w:rPr>
          <w:w w:val="103"/>
          <w:sz w:val="28"/>
          <w:szCs w:val="28"/>
          <w:vertAlign w:val="superscript"/>
        </w:rPr>
        <w:t>th</w:t>
      </w:r>
      <w:r w:rsidRPr="002032DC">
        <w:rPr>
          <w:w w:val="103"/>
          <w:sz w:val="28"/>
          <w:szCs w:val="28"/>
        </w:rPr>
        <w:t xml:space="preserve"> Circuit affirmed a Tax Court</w:t>
      </w:r>
      <w:r w:rsidRPr="00BE7923">
        <w:rPr>
          <w:w w:val="103"/>
          <w:sz w:val="28"/>
          <w:szCs w:val="28"/>
        </w:rPr>
        <w:t xml:space="preserve"> holding that an IRA owner engaged in prohibited transactions under Code </w:t>
      </w:r>
      <w:r w:rsidRPr="00BE7923">
        <w:rPr>
          <w:rFonts w:cs="Times New Roman"/>
          <w:w w:val="103"/>
          <w:sz w:val="28"/>
          <w:szCs w:val="28"/>
        </w:rPr>
        <w:t>§</w:t>
      </w:r>
      <w:r w:rsidRPr="00BE7923">
        <w:rPr>
          <w:w w:val="103"/>
          <w:sz w:val="28"/>
          <w:szCs w:val="28"/>
        </w:rPr>
        <w:t>4975(c) by directing his IRA to acquire a membership interest in an LLC with the expectatio</w:t>
      </w:r>
      <w:r>
        <w:rPr>
          <w:w w:val="103"/>
          <w:sz w:val="28"/>
          <w:szCs w:val="28"/>
        </w:rPr>
        <w:t>n that the LLC would employ him</w:t>
      </w:r>
      <w:r w:rsidRPr="00BE7923">
        <w:rPr>
          <w:w w:val="103"/>
          <w:sz w:val="28"/>
          <w:szCs w:val="28"/>
        </w:rPr>
        <w:t xml:space="preserve"> </w:t>
      </w:r>
      <w:r>
        <w:rPr>
          <w:w w:val="103"/>
          <w:sz w:val="28"/>
          <w:szCs w:val="28"/>
        </w:rPr>
        <w:t>(</w:t>
      </w:r>
      <w:r w:rsidRPr="00BE7923">
        <w:rPr>
          <w:w w:val="103"/>
          <w:sz w:val="28"/>
          <w:szCs w:val="28"/>
        </w:rPr>
        <w:t xml:space="preserve">and in fact </w:t>
      </w:r>
      <w:r>
        <w:rPr>
          <w:w w:val="103"/>
          <w:sz w:val="28"/>
          <w:szCs w:val="28"/>
        </w:rPr>
        <w:t>he received</w:t>
      </w:r>
      <w:r w:rsidRPr="00BE7923">
        <w:rPr>
          <w:w w:val="103"/>
          <w:sz w:val="28"/>
          <w:szCs w:val="28"/>
        </w:rPr>
        <w:t xml:space="preserve"> wages from the LLC</w:t>
      </w:r>
      <w:r>
        <w:rPr>
          <w:w w:val="103"/>
          <w:sz w:val="28"/>
          <w:szCs w:val="28"/>
        </w:rPr>
        <w:t>)</w:t>
      </w:r>
      <w:r w:rsidRPr="00BE7923">
        <w:rPr>
          <w:w w:val="103"/>
          <w:sz w:val="28"/>
          <w:szCs w:val="28"/>
        </w:rPr>
        <w:t>.  The facts of this case arose out of a business established in Harrisonville, Missouri</w:t>
      </w:r>
      <w:r>
        <w:rPr>
          <w:w w:val="103"/>
          <w:sz w:val="28"/>
          <w:szCs w:val="28"/>
        </w:rPr>
        <w:t>,</w:t>
      </w:r>
      <w:r w:rsidRPr="00BE7923">
        <w:rPr>
          <w:w w:val="103"/>
          <w:sz w:val="28"/>
          <w:szCs w:val="28"/>
        </w:rPr>
        <w:t xml:space="preserve"> </w:t>
      </w:r>
      <w:r>
        <w:rPr>
          <w:w w:val="103"/>
          <w:sz w:val="28"/>
          <w:szCs w:val="28"/>
        </w:rPr>
        <w:t>w</w:t>
      </w:r>
      <w:r w:rsidRPr="00BE7923">
        <w:rPr>
          <w:w w:val="103"/>
          <w:sz w:val="28"/>
          <w:szCs w:val="28"/>
        </w:rPr>
        <w:t>herein Mr. Ellis invested almost his entire rollover IRA ($321,253) in a 98% membership interest in an LLC, under which Ellis served as General Manager.  As a result of these transactions, the IRA lost its status as an individual retirement account and its entire fair market value was treated as taxable income</w:t>
      </w:r>
      <w:r>
        <w:rPr>
          <w:w w:val="103"/>
          <w:sz w:val="28"/>
          <w:szCs w:val="28"/>
        </w:rPr>
        <w:t xml:space="preserve"> as of the date of its establishment</w:t>
      </w:r>
      <w:r w:rsidRPr="00BE7923">
        <w:rPr>
          <w:w w:val="103"/>
          <w:sz w:val="28"/>
          <w:szCs w:val="28"/>
        </w:rPr>
        <w:t>.</w:t>
      </w:r>
    </w:p>
    <w:p w:rsidR="00840361" w:rsidRPr="00BE7923" w:rsidRDefault="00840361" w:rsidP="00E35818">
      <w:pPr>
        <w:pStyle w:val="Work3"/>
        <w:spacing w:after="0" w:line="480" w:lineRule="auto"/>
        <w:ind w:left="0" w:firstLine="2160"/>
        <w:jc w:val="both"/>
        <w:rPr>
          <w:w w:val="103"/>
          <w:sz w:val="28"/>
          <w:szCs w:val="28"/>
        </w:rPr>
      </w:pPr>
      <w:r w:rsidRPr="00BE7923">
        <w:rPr>
          <w:w w:val="103"/>
          <w:sz w:val="28"/>
          <w:szCs w:val="28"/>
        </w:rPr>
        <w:t xml:space="preserve">A different result was reached in </w:t>
      </w:r>
      <w:r w:rsidRPr="00063B0A">
        <w:rPr>
          <w:i/>
          <w:w w:val="103"/>
          <w:sz w:val="28"/>
          <w:szCs w:val="28"/>
          <w:u w:val="single"/>
        </w:rPr>
        <w:t>In re</w:t>
      </w:r>
      <w:r w:rsidRPr="00BE7923">
        <w:rPr>
          <w:w w:val="103"/>
          <w:sz w:val="28"/>
          <w:szCs w:val="28"/>
          <w:u w:val="single"/>
        </w:rPr>
        <w:t xml:space="preserve"> Nolte</w:t>
      </w:r>
      <w:r w:rsidRPr="00BE7923">
        <w:rPr>
          <w:w w:val="103"/>
          <w:sz w:val="28"/>
          <w:szCs w:val="28"/>
        </w:rPr>
        <w:t xml:space="preserve">, 2015 Westlaw 2128670 (Bankr. E.D. Va. 2015).  At Nolte’s instructions, the IRA investment advisor invested $100,000 out of the IRA in a 5% interest in an LLC.  Nolte later served on the Board of the LLC but received no compensation.  In a bankruptcy proceeding, a creditor objected to the debtor’s discharge on the basis that the IRA had lost its exemption because Nolte had engaged in a prohibited transaction under Code </w:t>
      </w:r>
      <w:r w:rsidRPr="00BE7923">
        <w:rPr>
          <w:rFonts w:cs="Times New Roman"/>
          <w:w w:val="103"/>
          <w:sz w:val="28"/>
          <w:szCs w:val="28"/>
        </w:rPr>
        <w:t>§</w:t>
      </w:r>
      <w:r w:rsidRPr="00BE7923">
        <w:rPr>
          <w:w w:val="103"/>
          <w:sz w:val="28"/>
          <w:szCs w:val="28"/>
        </w:rPr>
        <w:t xml:space="preserve">4975.  In this case, the Bankruptcy Court found that merely investing in </w:t>
      </w:r>
      <w:r>
        <w:rPr>
          <w:w w:val="103"/>
          <w:sz w:val="28"/>
          <w:szCs w:val="28"/>
        </w:rPr>
        <w:t xml:space="preserve">a 5% interest in </w:t>
      </w:r>
      <w:r w:rsidRPr="00BE7923">
        <w:rPr>
          <w:w w:val="103"/>
          <w:sz w:val="28"/>
          <w:szCs w:val="28"/>
        </w:rPr>
        <w:t>an entity in which the IRA owner served on the Board was not a prohibited transaction, and the IRA was not disqualified.</w:t>
      </w:r>
    </w:p>
    <w:p w:rsidR="00840361" w:rsidRDefault="00840361" w:rsidP="00E35818">
      <w:pPr>
        <w:pStyle w:val="Work3"/>
        <w:spacing w:after="0" w:line="480" w:lineRule="auto"/>
        <w:ind w:left="0" w:firstLine="2160"/>
        <w:jc w:val="both"/>
        <w:rPr>
          <w:w w:val="103"/>
          <w:sz w:val="28"/>
          <w:szCs w:val="28"/>
        </w:rPr>
      </w:pPr>
      <w:r w:rsidRPr="00BE7923">
        <w:rPr>
          <w:w w:val="103"/>
          <w:sz w:val="28"/>
          <w:szCs w:val="28"/>
        </w:rPr>
        <w:lastRenderedPageBreak/>
        <w:t>In contra</w:t>
      </w:r>
      <w:r>
        <w:rPr>
          <w:w w:val="103"/>
          <w:sz w:val="28"/>
          <w:szCs w:val="28"/>
        </w:rPr>
        <w:t>s</w:t>
      </w:r>
      <w:r w:rsidRPr="00BE7923">
        <w:rPr>
          <w:w w:val="103"/>
          <w:sz w:val="28"/>
          <w:szCs w:val="28"/>
        </w:rPr>
        <w:t xml:space="preserve">t to </w:t>
      </w:r>
      <w:r w:rsidRPr="00C72000">
        <w:rPr>
          <w:w w:val="103"/>
          <w:sz w:val="28"/>
          <w:szCs w:val="28"/>
          <w:u w:val="single"/>
        </w:rPr>
        <w:t>Nolte</w:t>
      </w:r>
      <w:r w:rsidRPr="00BE7923">
        <w:rPr>
          <w:w w:val="103"/>
          <w:sz w:val="28"/>
          <w:szCs w:val="28"/>
        </w:rPr>
        <w:t xml:space="preserve">, Mr. Kellerman’s IRA was found not to be exempt due to actions taken by Mr. Kellerman.  </w:t>
      </w:r>
      <w:r w:rsidRPr="00063B0A">
        <w:rPr>
          <w:i/>
          <w:w w:val="103"/>
          <w:sz w:val="28"/>
          <w:szCs w:val="28"/>
          <w:u w:val="single"/>
        </w:rPr>
        <w:t>In re</w:t>
      </w:r>
      <w:r w:rsidRPr="00BE7923">
        <w:rPr>
          <w:w w:val="103"/>
          <w:sz w:val="28"/>
          <w:szCs w:val="28"/>
          <w:u w:val="single"/>
        </w:rPr>
        <w:t xml:space="preserve"> Kellerman</w:t>
      </w:r>
      <w:r w:rsidRPr="00BE7923">
        <w:rPr>
          <w:w w:val="103"/>
          <w:sz w:val="28"/>
          <w:szCs w:val="28"/>
        </w:rPr>
        <w:t>, 2015 Westlaw 3377907 (Bankr. E.D. Ark. 2015).  Kellerman formed a partnership between his self-directed IRA and another LLC which was wholly owned by Kellerman.  Kellerman ordered the IRA custodian to sell a substantial portion of the assets of the IRA and purchase a tract of land</w:t>
      </w:r>
      <w:r>
        <w:rPr>
          <w:w w:val="103"/>
          <w:sz w:val="28"/>
          <w:szCs w:val="28"/>
        </w:rPr>
        <w:t>, in which the LLC and his IRA owned undivided interests</w:t>
      </w:r>
      <w:r w:rsidRPr="00BE7923">
        <w:rPr>
          <w:w w:val="103"/>
          <w:sz w:val="28"/>
          <w:szCs w:val="28"/>
        </w:rPr>
        <w:t xml:space="preserve">.  </w:t>
      </w:r>
      <w:r>
        <w:rPr>
          <w:w w:val="103"/>
          <w:sz w:val="28"/>
          <w:szCs w:val="28"/>
        </w:rPr>
        <w:t xml:space="preserve">After </w:t>
      </w:r>
      <w:r w:rsidRPr="00BE7923">
        <w:rPr>
          <w:w w:val="103"/>
          <w:sz w:val="28"/>
          <w:szCs w:val="28"/>
        </w:rPr>
        <w:t>f</w:t>
      </w:r>
      <w:r>
        <w:rPr>
          <w:w w:val="103"/>
          <w:sz w:val="28"/>
          <w:szCs w:val="28"/>
        </w:rPr>
        <w:t>i</w:t>
      </w:r>
      <w:r w:rsidRPr="00BE7923">
        <w:rPr>
          <w:w w:val="103"/>
          <w:sz w:val="28"/>
          <w:szCs w:val="28"/>
        </w:rPr>
        <w:t>nd</w:t>
      </w:r>
      <w:r>
        <w:rPr>
          <w:w w:val="103"/>
          <w:sz w:val="28"/>
          <w:szCs w:val="28"/>
        </w:rPr>
        <w:t>ing</w:t>
      </w:r>
      <w:r w:rsidRPr="00BE7923">
        <w:rPr>
          <w:w w:val="103"/>
          <w:sz w:val="28"/>
          <w:szCs w:val="28"/>
        </w:rPr>
        <w:t xml:space="preserve"> that the IRA had engaged in prohibited transactions</w:t>
      </w:r>
      <w:r>
        <w:rPr>
          <w:w w:val="103"/>
          <w:sz w:val="28"/>
          <w:szCs w:val="28"/>
        </w:rPr>
        <w:t>, the Court held the IRA</w:t>
      </w:r>
      <w:r w:rsidRPr="00BE7923">
        <w:rPr>
          <w:w w:val="103"/>
          <w:sz w:val="28"/>
          <w:szCs w:val="28"/>
        </w:rPr>
        <w:t xml:space="preserve"> had been disqualified and was not entitled to a bankruptcy exemption.</w:t>
      </w:r>
    </w:p>
    <w:p w:rsidR="00B702F5" w:rsidRPr="00BE7923" w:rsidRDefault="00B702F5" w:rsidP="00E35818">
      <w:pPr>
        <w:pStyle w:val="Work3"/>
        <w:spacing w:after="0" w:line="480" w:lineRule="auto"/>
        <w:ind w:left="0" w:firstLine="2160"/>
        <w:jc w:val="both"/>
        <w:rPr>
          <w:w w:val="103"/>
          <w:sz w:val="28"/>
          <w:szCs w:val="28"/>
        </w:rPr>
      </w:pPr>
      <w:r>
        <w:rPr>
          <w:w w:val="103"/>
          <w:sz w:val="28"/>
          <w:szCs w:val="28"/>
        </w:rPr>
        <w:t xml:space="preserve">In </w:t>
      </w:r>
      <w:r w:rsidRPr="00B702F5">
        <w:rPr>
          <w:w w:val="103"/>
          <w:sz w:val="28"/>
          <w:szCs w:val="28"/>
          <w:u w:val="single"/>
        </w:rPr>
        <w:t>McGaugh v. Commissioner</w:t>
      </w:r>
      <w:r>
        <w:rPr>
          <w:w w:val="103"/>
          <w:sz w:val="28"/>
          <w:szCs w:val="28"/>
        </w:rPr>
        <w:t xml:space="preserve">, T.C. Memo. 2016-28, the taxpayer’s IRA custodian initially refused to purchase shares in a closely-held entity since it was not on the custodian’s approved buy list.  The taxpayer then instructed the custodian to wire IRA funds directly to the corporation whereupon shares were issued by the Corporation in the name of the IRA which were then delivered by the taxpayer to the IRA custodian.  Despite the fact that the taxpayer “pulled all strings” and controlled the wired funds in the transaction, the </w:t>
      </w:r>
      <w:r w:rsidR="00AE0846">
        <w:rPr>
          <w:w w:val="103"/>
          <w:sz w:val="28"/>
          <w:szCs w:val="28"/>
        </w:rPr>
        <w:t>T</w:t>
      </w:r>
      <w:r>
        <w:rPr>
          <w:w w:val="103"/>
          <w:sz w:val="28"/>
          <w:szCs w:val="28"/>
        </w:rPr>
        <w:t xml:space="preserve">ax </w:t>
      </w:r>
      <w:r w:rsidR="00AE0846">
        <w:rPr>
          <w:w w:val="103"/>
          <w:sz w:val="28"/>
          <w:szCs w:val="28"/>
        </w:rPr>
        <w:t>C</w:t>
      </w:r>
      <w:r>
        <w:rPr>
          <w:w w:val="103"/>
          <w:sz w:val="28"/>
          <w:szCs w:val="28"/>
        </w:rPr>
        <w:t xml:space="preserve">ourt held that the taxpayer was merely acting as a conduit for the custodian and that this transaction did not constitute constructive receipt of IRA proceeds.  However, in </w:t>
      </w:r>
      <w:r>
        <w:rPr>
          <w:w w:val="103"/>
          <w:sz w:val="28"/>
          <w:szCs w:val="28"/>
          <w:u w:val="single"/>
        </w:rPr>
        <w:t>Vandenbosch v. Commissioner</w:t>
      </w:r>
      <w:r>
        <w:rPr>
          <w:w w:val="103"/>
          <w:sz w:val="28"/>
          <w:szCs w:val="28"/>
        </w:rPr>
        <w:t xml:space="preserve">, T.C. Memo. 2016-29, the taxpayer </w:t>
      </w:r>
      <w:r w:rsidR="00E20300">
        <w:rPr>
          <w:w w:val="103"/>
          <w:sz w:val="28"/>
          <w:szCs w:val="28"/>
        </w:rPr>
        <w:t xml:space="preserve">moved funds from his IRA to a joint account, followed by a move from the joint account </w:t>
      </w:r>
      <w:r w:rsidR="00E20300">
        <w:rPr>
          <w:w w:val="103"/>
          <w:sz w:val="28"/>
          <w:szCs w:val="28"/>
        </w:rPr>
        <w:lastRenderedPageBreak/>
        <w:t xml:space="preserve">into the taxpayer’s personal account, followed by the taxpayer wiring the funds directly to a borrower, in exchange for a note from the borrower payable to the taxpayer and </w:t>
      </w:r>
      <w:r w:rsidR="00E20300" w:rsidRPr="00E20300">
        <w:rPr>
          <w:w w:val="103"/>
          <w:sz w:val="28"/>
          <w:szCs w:val="28"/>
          <w:u w:val="single"/>
        </w:rPr>
        <w:t>not</w:t>
      </w:r>
      <w:r w:rsidR="00E20300">
        <w:rPr>
          <w:w w:val="103"/>
          <w:sz w:val="28"/>
          <w:szCs w:val="28"/>
        </w:rPr>
        <w:t xml:space="preserve"> the taxpayer’s IRA.  Here, the court held that the taxpayer was not a mere conduit in the same manner as in </w:t>
      </w:r>
      <w:r w:rsidR="00E20300">
        <w:rPr>
          <w:w w:val="103"/>
          <w:sz w:val="28"/>
          <w:szCs w:val="28"/>
          <w:u w:val="single"/>
        </w:rPr>
        <w:t>McGaugh</w:t>
      </w:r>
      <w:r w:rsidR="00E20300">
        <w:rPr>
          <w:w w:val="103"/>
          <w:sz w:val="28"/>
          <w:szCs w:val="28"/>
        </w:rPr>
        <w:t>, and the court held constructive receipt of IRA funds had occurred.</w:t>
      </w:r>
    </w:p>
    <w:p w:rsidR="00840361" w:rsidRPr="002032DC" w:rsidRDefault="00840361" w:rsidP="009E2201">
      <w:pPr>
        <w:pStyle w:val="Work2"/>
        <w:spacing w:after="0" w:line="480" w:lineRule="auto"/>
        <w:ind w:left="0" w:firstLine="1440"/>
        <w:jc w:val="both"/>
        <w:rPr>
          <w:w w:val="103"/>
          <w:sz w:val="28"/>
          <w:szCs w:val="28"/>
        </w:rPr>
      </w:pPr>
      <w:r w:rsidRPr="002032DC">
        <w:rPr>
          <w:w w:val="103"/>
          <w:sz w:val="28"/>
          <w:szCs w:val="28"/>
        </w:rPr>
        <w:t>Claim of Breach of Fiduciary Duty against Plan Trustees</w:t>
      </w:r>
    </w:p>
    <w:p w:rsidR="00840361" w:rsidRPr="002032DC" w:rsidRDefault="00840361" w:rsidP="00E35818">
      <w:pPr>
        <w:pStyle w:val="Work3"/>
        <w:spacing w:line="480" w:lineRule="auto"/>
        <w:ind w:left="0" w:firstLine="2160"/>
        <w:jc w:val="both"/>
        <w:rPr>
          <w:w w:val="103"/>
          <w:sz w:val="28"/>
          <w:szCs w:val="28"/>
        </w:rPr>
      </w:pPr>
      <w:r w:rsidRPr="002032DC">
        <w:rPr>
          <w:w w:val="103"/>
          <w:sz w:val="28"/>
          <w:szCs w:val="28"/>
        </w:rPr>
        <w:t xml:space="preserve">In </w:t>
      </w:r>
      <w:r w:rsidRPr="002032DC">
        <w:rPr>
          <w:w w:val="103"/>
          <w:sz w:val="28"/>
          <w:szCs w:val="28"/>
          <w:u w:val="single"/>
        </w:rPr>
        <w:t>Tibble v. Commissioner</w:t>
      </w:r>
      <w:r w:rsidRPr="002032DC">
        <w:rPr>
          <w:w w:val="103"/>
          <w:sz w:val="28"/>
          <w:szCs w:val="28"/>
        </w:rPr>
        <w:t>, 135 S.Ct. 1823 (2015), retirement plan participants brought suit against the plan for investing in mutual funds with high fees as opposed to low-cost mutual funds.  The 9</w:t>
      </w:r>
      <w:r w:rsidRPr="002032DC">
        <w:rPr>
          <w:w w:val="103"/>
          <w:sz w:val="28"/>
          <w:szCs w:val="28"/>
          <w:vertAlign w:val="superscript"/>
        </w:rPr>
        <w:t>th</w:t>
      </w:r>
      <w:r w:rsidRPr="002032DC">
        <w:rPr>
          <w:w w:val="103"/>
          <w:sz w:val="28"/>
          <w:szCs w:val="28"/>
        </w:rPr>
        <w:t xml:space="preserve"> Circuit had found that the statute of limitations of six years after “the date of the last action which constituted a part of the breach or violation” was a bar to this suit, because the mutual funds in question were purchased more than six years before the suit was instituted.  However, the Supreme Court reversed this decision, holding that the plan trustees engaged in a </w:t>
      </w:r>
      <w:r w:rsidRPr="002032DC">
        <w:rPr>
          <w:w w:val="103"/>
          <w:sz w:val="28"/>
          <w:szCs w:val="28"/>
          <w:u w:val="single"/>
        </w:rPr>
        <w:t>continuing</w:t>
      </w:r>
      <w:r w:rsidRPr="002032DC">
        <w:rPr>
          <w:w w:val="103"/>
          <w:sz w:val="28"/>
          <w:szCs w:val="28"/>
        </w:rPr>
        <w:t xml:space="preserve"> breach of their duty of prudence in failing to monitor the investments, and remanded the case to the trial court for determination of whether that issue was timely raised.</w:t>
      </w:r>
    </w:p>
    <w:p w:rsidR="00840361" w:rsidRPr="002032DC" w:rsidRDefault="00840361" w:rsidP="009E2201">
      <w:pPr>
        <w:pStyle w:val="Work2"/>
        <w:spacing w:after="0" w:line="480" w:lineRule="auto"/>
        <w:ind w:left="0" w:firstLine="1440"/>
        <w:jc w:val="both"/>
        <w:rPr>
          <w:w w:val="103"/>
          <w:sz w:val="28"/>
          <w:szCs w:val="28"/>
        </w:rPr>
      </w:pPr>
      <w:r w:rsidRPr="002032DC">
        <w:rPr>
          <w:w w:val="103"/>
          <w:sz w:val="28"/>
          <w:szCs w:val="28"/>
        </w:rPr>
        <w:t xml:space="preserve">Loss of Bankruptcy Exemption </w:t>
      </w:r>
    </w:p>
    <w:p w:rsidR="00840361" w:rsidRPr="002032DC" w:rsidRDefault="00840361" w:rsidP="00E35818">
      <w:pPr>
        <w:pStyle w:val="Work3"/>
        <w:spacing w:line="480" w:lineRule="auto"/>
        <w:ind w:left="0" w:firstLine="2160"/>
        <w:jc w:val="both"/>
        <w:rPr>
          <w:w w:val="103"/>
          <w:sz w:val="28"/>
          <w:szCs w:val="28"/>
        </w:rPr>
      </w:pPr>
      <w:r w:rsidRPr="002032DC">
        <w:rPr>
          <w:w w:val="103"/>
          <w:sz w:val="28"/>
          <w:szCs w:val="28"/>
        </w:rPr>
        <w:t xml:space="preserve">In </w:t>
      </w:r>
      <w:r w:rsidRPr="002032DC">
        <w:rPr>
          <w:w w:val="103"/>
          <w:sz w:val="28"/>
          <w:szCs w:val="28"/>
          <w:u w:val="single"/>
        </w:rPr>
        <w:t>Running v. Miller</w:t>
      </w:r>
      <w:r w:rsidRPr="002032DC">
        <w:rPr>
          <w:w w:val="103"/>
          <w:sz w:val="28"/>
          <w:szCs w:val="28"/>
        </w:rPr>
        <w:t>, 77 F.3d 711 (8</w:t>
      </w:r>
      <w:r w:rsidRPr="002032DC">
        <w:rPr>
          <w:w w:val="103"/>
          <w:sz w:val="28"/>
          <w:szCs w:val="28"/>
          <w:vertAlign w:val="superscript"/>
        </w:rPr>
        <w:t>th</w:t>
      </w:r>
      <w:r w:rsidRPr="002032DC">
        <w:rPr>
          <w:w w:val="103"/>
          <w:sz w:val="28"/>
          <w:szCs w:val="28"/>
        </w:rPr>
        <w:t xml:space="preserve"> Cir. 2015), the taxpayer purchased an annuity from Minnesota Life Insurance Company for a lump sum purchase payment of $267,319.  Miller used funds from his IRA to </w:t>
      </w:r>
      <w:r w:rsidRPr="002032DC">
        <w:rPr>
          <w:w w:val="103"/>
          <w:sz w:val="28"/>
          <w:szCs w:val="28"/>
        </w:rPr>
        <w:lastRenderedPageBreak/>
        <w:t>make this payment.  Miller later filed for bankruptcy and claimed that the annuity was exempt from the bankruptcy estate as an individual retirement account.  The bankruptcy trustee objected, and the bankruptcy court overruled her objection.  The bankruptcy trustee had claimed that, because Miller had used the IRA funds to purchase an annuity with a lump-sum premium, the funds thus became property of the bankruptcy estate.</w:t>
      </w:r>
    </w:p>
    <w:p w:rsidR="00840361" w:rsidRPr="00821285" w:rsidRDefault="00840361" w:rsidP="009E2201">
      <w:pPr>
        <w:pStyle w:val="Work1"/>
        <w:spacing w:after="0" w:line="480" w:lineRule="auto"/>
        <w:ind w:left="0" w:firstLine="720"/>
        <w:jc w:val="both"/>
        <w:rPr>
          <w:rFonts w:cs="Times New Roman"/>
          <w:w w:val="103"/>
          <w:sz w:val="28"/>
          <w:szCs w:val="28"/>
        </w:rPr>
      </w:pPr>
      <w:r w:rsidRPr="00821285">
        <w:rPr>
          <w:rFonts w:cs="Times New Roman"/>
          <w:w w:val="103"/>
          <w:sz w:val="28"/>
          <w:szCs w:val="28"/>
        </w:rPr>
        <w:t>NAMING CHARITY(S) AS BENEFICIARY OF THE IRA</w:t>
      </w:r>
    </w:p>
    <w:p w:rsidR="00840361" w:rsidRPr="009E2F9C" w:rsidRDefault="00840361" w:rsidP="009E2201">
      <w:pPr>
        <w:pStyle w:val="Work2"/>
        <w:spacing w:line="480" w:lineRule="auto"/>
        <w:ind w:left="0" w:firstLine="1440"/>
        <w:jc w:val="both"/>
        <w:rPr>
          <w:sz w:val="28"/>
          <w:szCs w:val="28"/>
        </w:rPr>
      </w:pPr>
      <w:r w:rsidRPr="009E2F9C">
        <w:rPr>
          <w:sz w:val="28"/>
          <w:szCs w:val="28"/>
        </w:rPr>
        <w:t>If a client indicates a desire to leave funds to charity(s) upon his or her death, the first words out of our mouth</w:t>
      </w:r>
      <w:r>
        <w:rPr>
          <w:sz w:val="28"/>
          <w:szCs w:val="28"/>
        </w:rPr>
        <w:t>s</w:t>
      </w:r>
      <w:r w:rsidRPr="009E2F9C">
        <w:rPr>
          <w:sz w:val="28"/>
          <w:szCs w:val="28"/>
        </w:rPr>
        <w:t xml:space="preserve"> should be to consider making such at-death gifts </w:t>
      </w:r>
      <w:r>
        <w:rPr>
          <w:sz w:val="28"/>
          <w:szCs w:val="28"/>
        </w:rPr>
        <w:t>from qualified retirement plans</w:t>
      </w:r>
      <w:r w:rsidRPr="009E2F9C">
        <w:rPr>
          <w:sz w:val="28"/>
          <w:szCs w:val="28"/>
        </w:rPr>
        <w:t xml:space="preserve"> or traditional IRAs.</w:t>
      </w:r>
    </w:p>
    <w:p w:rsidR="00840361" w:rsidRDefault="00840361" w:rsidP="00E35818">
      <w:pPr>
        <w:pStyle w:val="Work3"/>
        <w:spacing w:line="480" w:lineRule="auto"/>
        <w:ind w:left="0" w:firstLine="2160"/>
        <w:jc w:val="both"/>
        <w:rPr>
          <w:sz w:val="28"/>
          <w:szCs w:val="28"/>
        </w:rPr>
      </w:pPr>
      <w:r>
        <w:rPr>
          <w:sz w:val="28"/>
          <w:szCs w:val="28"/>
        </w:rPr>
        <w:t xml:space="preserve">If the client’s estate plan contemplates benefits both to charity and to children or other individual beneficiaries, the most efficient income tax planning is accomplished by satisfying the charitable gifts with retirement plan assets, and using other assets to leave to the individual beneficiaries.  While the charity will not pay income tax on </w:t>
      </w:r>
      <w:r w:rsidRPr="000D0D48">
        <w:rPr>
          <w:sz w:val="28"/>
          <w:szCs w:val="28"/>
          <w:u w:val="single"/>
        </w:rPr>
        <w:t>any</w:t>
      </w:r>
      <w:r>
        <w:rPr>
          <w:sz w:val="28"/>
          <w:szCs w:val="28"/>
        </w:rPr>
        <w:t xml:space="preserve"> inheritance it receives, including retirement plan benefits, individual beneficiaries will pay income tax on the distribution of a retirement plan interest, and will not pay income tax on almost all other forms of inheritance.</w:t>
      </w:r>
    </w:p>
    <w:p w:rsidR="00840361" w:rsidRDefault="00840361" w:rsidP="00E35818">
      <w:pPr>
        <w:pStyle w:val="Work3"/>
        <w:spacing w:line="480" w:lineRule="auto"/>
        <w:ind w:left="0" w:firstLine="2160"/>
        <w:jc w:val="both"/>
        <w:rPr>
          <w:sz w:val="28"/>
          <w:szCs w:val="28"/>
        </w:rPr>
      </w:pPr>
      <w:r>
        <w:rPr>
          <w:sz w:val="28"/>
          <w:szCs w:val="28"/>
        </w:rPr>
        <w:lastRenderedPageBreak/>
        <w:t>In addition to satisfying the client’s charitable desires, a variety of charitable giving techniques involving retirement benefits will help realize additional estate planning objectives as well.</w:t>
      </w:r>
    </w:p>
    <w:p w:rsidR="00840361" w:rsidRDefault="00840361" w:rsidP="00E35818">
      <w:pPr>
        <w:pStyle w:val="Work3"/>
        <w:spacing w:line="480" w:lineRule="auto"/>
        <w:ind w:left="0" w:firstLine="2160"/>
        <w:jc w:val="both"/>
        <w:rPr>
          <w:sz w:val="28"/>
          <w:szCs w:val="28"/>
        </w:rPr>
      </w:pPr>
      <w:r>
        <w:rPr>
          <w:sz w:val="28"/>
          <w:szCs w:val="28"/>
        </w:rPr>
        <w:t>With this planning, charitable intent should be more important than tax savings!</w:t>
      </w:r>
    </w:p>
    <w:p w:rsidR="00840361" w:rsidRDefault="00840361" w:rsidP="00E35818">
      <w:pPr>
        <w:pStyle w:val="Work3"/>
        <w:spacing w:line="480" w:lineRule="auto"/>
        <w:ind w:left="0" w:firstLine="2160"/>
        <w:jc w:val="both"/>
        <w:rPr>
          <w:sz w:val="28"/>
          <w:szCs w:val="28"/>
        </w:rPr>
      </w:pPr>
      <w:r>
        <w:rPr>
          <w:sz w:val="28"/>
          <w:szCs w:val="28"/>
        </w:rPr>
        <w:t>In contrast, since Roth IRAs pass to the designated beneficiary without any income tax liability, naming charity as beneficiary of the Roth IRA is not tax efficient.</w:t>
      </w:r>
    </w:p>
    <w:p w:rsidR="00840361" w:rsidRDefault="00840361" w:rsidP="009E2201">
      <w:pPr>
        <w:pStyle w:val="Work2"/>
        <w:spacing w:line="480" w:lineRule="auto"/>
        <w:ind w:left="0" w:firstLine="1440"/>
        <w:jc w:val="both"/>
        <w:rPr>
          <w:sz w:val="28"/>
          <w:szCs w:val="28"/>
        </w:rPr>
      </w:pPr>
      <w:r>
        <w:rPr>
          <w:sz w:val="28"/>
          <w:szCs w:val="28"/>
        </w:rPr>
        <w:t>There are various t</w:t>
      </w:r>
      <w:r w:rsidRPr="009E2F9C">
        <w:rPr>
          <w:sz w:val="28"/>
          <w:szCs w:val="28"/>
        </w:rPr>
        <w:t xml:space="preserve">echniques for </w:t>
      </w:r>
      <w:r>
        <w:rPr>
          <w:sz w:val="28"/>
          <w:szCs w:val="28"/>
        </w:rPr>
        <w:t>l</w:t>
      </w:r>
      <w:r w:rsidRPr="009E2F9C">
        <w:rPr>
          <w:sz w:val="28"/>
          <w:szCs w:val="28"/>
        </w:rPr>
        <w:t xml:space="preserve">eaving </w:t>
      </w:r>
      <w:r>
        <w:rPr>
          <w:sz w:val="28"/>
          <w:szCs w:val="28"/>
        </w:rPr>
        <w:t>r</w:t>
      </w:r>
      <w:r w:rsidRPr="009E2F9C">
        <w:rPr>
          <w:sz w:val="28"/>
          <w:szCs w:val="28"/>
        </w:rPr>
        <w:t xml:space="preserve">etirement </w:t>
      </w:r>
      <w:r>
        <w:rPr>
          <w:sz w:val="28"/>
          <w:szCs w:val="28"/>
        </w:rPr>
        <w:t>benefits to charity(s) upon a taxpayer’s death.</w:t>
      </w:r>
    </w:p>
    <w:p w:rsidR="00840361" w:rsidRDefault="00840361" w:rsidP="00E35818">
      <w:pPr>
        <w:pStyle w:val="Work3"/>
        <w:spacing w:line="480" w:lineRule="auto"/>
        <w:ind w:left="0" w:firstLine="2160"/>
        <w:jc w:val="both"/>
        <w:rPr>
          <w:sz w:val="28"/>
          <w:szCs w:val="28"/>
        </w:rPr>
      </w:pPr>
      <w:r>
        <w:rPr>
          <w:sz w:val="28"/>
          <w:szCs w:val="28"/>
        </w:rPr>
        <w:t>The easiest way to leave retirement plan benefits to charity(s) is to name the charity(s) as a direct beneficiary of one hundred percent (100%) of the benefits payable upon the taxpayer’s death.</w:t>
      </w:r>
    </w:p>
    <w:p w:rsidR="00840361" w:rsidRDefault="00840361" w:rsidP="009E2201">
      <w:pPr>
        <w:pStyle w:val="Work4"/>
        <w:spacing w:line="480" w:lineRule="auto"/>
        <w:ind w:left="0" w:firstLine="2880"/>
        <w:jc w:val="both"/>
        <w:rPr>
          <w:sz w:val="28"/>
          <w:szCs w:val="28"/>
        </w:rPr>
      </w:pPr>
      <w:r w:rsidRPr="009E2F9C">
        <w:rPr>
          <w:sz w:val="28"/>
          <w:szCs w:val="28"/>
        </w:rPr>
        <w:t>A properly completed beneficiary designation form in this regard is easy to accomplish.</w:t>
      </w:r>
    </w:p>
    <w:p w:rsidR="00840361" w:rsidRDefault="00840361" w:rsidP="009E2201">
      <w:pPr>
        <w:pStyle w:val="Work4"/>
        <w:spacing w:line="480" w:lineRule="auto"/>
        <w:ind w:left="0" w:firstLine="2880"/>
        <w:jc w:val="both"/>
        <w:rPr>
          <w:sz w:val="28"/>
          <w:szCs w:val="28"/>
        </w:rPr>
      </w:pPr>
      <w:r>
        <w:rPr>
          <w:sz w:val="28"/>
          <w:szCs w:val="28"/>
        </w:rPr>
        <w:t xml:space="preserve">Although all of the income associated with retirement benefits will be included in the income of the charitable organization </w:t>
      </w:r>
      <w:r>
        <w:rPr>
          <w:sz w:val="28"/>
          <w:szCs w:val="28"/>
        </w:rPr>
        <w:lastRenderedPageBreak/>
        <w:t>named as beneficiary, such charity’s income tax exemption will make the retirement plan benefit distribution not taxable.</w:t>
      </w:r>
    </w:p>
    <w:p w:rsidR="00840361" w:rsidRPr="009E2F9C" w:rsidRDefault="00840361" w:rsidP="009E2201">
      <w:pPr>
        <w:pStyle w:val="Work4"/>
        <w:spacing w:line="480" w:lineRule="auto"/>
        <w:ind w:left="0" w:firstLine="2880"/>
        <w:jc w:val="both"/>
        <w:rPr>
          <w:sz w:val="28"/>
          <w:szCs w:val="28"/>
        </w:rPr>
      </w:pPr>
      <w:r>
        <w:rPr>
          <w:sz w:val="28"/>
          <w:szCs w:val="28"/>
        </w:rPr>
        <w:t>In addition, the deceased taxpayer’s estate will receive a dollar for dollar estate tax charitable deduction for the estate tax value of the retirement plan interest.</w:t>
      </w:r>
    </w:p>
    <w:p w:rsidR="00840361" w:rsidRDefault="00840361" w:rsidP="00E35818">
      <w:pPr>
        <w:pStyle w:val="Work3"/>
        <w:spacing w:line="480" w:lineRule="auto"/>
        <w:ind w:left="0" w:firstLine="2160"/>
        <w:jc w:val="both"/>
        <w:rPr>
          <w:sz w:val="28"/>
          <w:szCs w:val="28"/>
        </w:rPr>
      </w:pPr>
      <w:r>
        <w:rPr>
          <w:sz w:val="28"/>
          <w:szCs w:val="28"/>
        </w:rPr>
        <w:t xml:space="preserve">In many instances, the client will want to leave a specific dollar amount to one or more charities, with the balance of the retirement plan interest passing to other individual beneficiaries (i.e., his or her lineal descendants, </w:t>
      </w:r>
      <w:r w:rsidRPr="007D2F5C">
        <w:rPr>
          <w:sz w:val="28"/>
          <w:szCs w:val="28"/>
        </w:rPr>
        <w:t>per</w:t>
      </w:r>
      <w:r>
        <w:rPr>
          <w:sz w:val="28"/>
          <w:szCs w:val="28"/>
        </w:rPr>
        <w:t xml:space="preserve"> </w:t>
      </w:r>
      <w:r w:rsidRPr="007D2F5C">
        <w:rPr>
          <w:sz w:val="28"/>
          <w:szCs w:val="28"/>
        </w:rPr>
        <w:t>stirpes</w:t>
      </w:r>
      <w:r>
        <w:rPr>
          <w:sz w:val="28"/>
          <w:szCs w:val="28"/>
        </w:rPr>
        <w:t>).</w:t>
      </w:r>
    </w:p>
    <w:p w:rsidR="00840361" w:rsidRDefault="00840361" w:rsidP="009E2201">
      <w:pPr>
        <w:pStyle w:val="Work4"/>
        <w:spacing w:line="480" w:lineRule="auto"/>
        <w:ind w:left="0" w:firstLine="2880"/>
        <w:jc w:val="both"/>
        <w:rPr>
          <w:sz w:val="28"/>
          <w:szCs w:val="28"/>
        </w:rPr>
      </w:pPr>
      <w:r>
        <w:rPr>
          <w:sz w:val="28"/>
          <w:szCs w:val="28"/>
        </w:rPr>
        <w:t>This usually requires an attachment to the beneficiary designation form setting forth the specific amount gift, and a description of the residual beneficiaries.</w:t>
      </w:r>
    </w:p>
    <w:p w:rsidR="00840361" w:rsidRDefault="00840361" w:rsidP="009E2201">
      <w:pPr>
        <w:pStyle w:val="Work4"/>
        <w:spacing w:line="480" w:lineRule="auto"/>
        <w:ind w:left="0" w:firstLine="2880"/>
        <w:jc w:val="both"/>
        <w:rPr>
          <w:sz w:val="28"/>
          <w:szCs w:val="28"/>
        </w:rPr>
      </w:pPr>
      <w:r>
        <w:rPr>
          <w:sz w:val="28"/>
          <w:szCs w:val="28"/>
        </w:rPr>
        <w:t>In my experience, you should be sure at the planning stage that the retirement plan administrator will accept and honor this attachment!</w:t>
      </w:r>
    </w:p>
    <w:p w:rsidR="00840361" w:rsidRDefault="00840361" w:rsidP="009E2201">
      <w:pPr>
        <w:pStyle w:val="Work4"/>
        <w:spacing w:line="480" w:lineRule="auto"/>
        <w:ind w:left="0" w:firstLine="2880"/>
        <w:jc w:val="both"/>
        <w:rPr>
          <w:sz w:val="28"/>
          <w:szCs w:val="28"/>
        </w:rPr>
      </w:pPr>
      <w:r>
        <w:rPr>
          <w:sz w:val="28"/>
          <w:szCs w:val="28"/>
        </w:rPr>
        <w:t xml:space="preserve">In order for the individual beneficiaries to be able to use separate accounts and a life expectancy payout, it will be necessary to be sure </w:t>
      </w:r>
      <w:r>
        <w:rPr>
          <w:sz w:val="28"/>
          <w:szCs w:val="28"/>
        </w:rPr>
        <w:lastRenderedPageBreak/>
        <w:t>that the charity(s) are “cashed out” (i.e., fully paid from the retirement plan) before September 30 of the year following the year of the taxpayer’s death.</w:t>
      </w:r>
    </w:p>
    <w:p w:rsidR="00840361" w:rsidRDefault="00840361" w:rsidP="006C5007">
      <w:pPr>
        <w:pStyle w:val="Work4"/>
        <w:spacing w:line="480" w:lineRule="auto"/>
        <w:ind w:left="0" w:firstLine="2880"/>
        <w:jc w:val="both"/>
        <w:rPr>
          <w:sz w:val="28"/>
          <w:szCs w:val="28"/>
        </w:rPr>
      </w:pPr>
      <w:r>
        <w:rPr>
          <w:sz w:val="28"/>
          <w:szCs w:val="28"/>
        </w:rPr>
        <w:t>Be careful doing this through a trust vehicle!</w:t>
      </w:r>
    </w:p>
    <w:p w:rsidR="00840361" w:rsidRPr="006F69DF" w:rsidRDefault="00840361" w:rsidP="009E2201">
      <w:pPr>
        <w:pStyle w:val="Work5"/>
        <w:spacing w:line="480" w:lineRule="auto"/>
        <w:ind w:left="0" w:firstLine="3600"/>
        <w:jc w:val="both"/>
        <w:rPr>
          <w:sz w:val="28"/>
          <w:szCs w:val="28"/>
        </w:rPr>
      </w:pPr>
      <w:r w:rsidRPr="006F69DF">
        <w:rPr>
          <w:sz w:val="28"/>
          <w:szCs w:val="28"/>
        </w:rPr>
        <w:t>In PLR 201438014, decedent’s Trust was named as beneficiary of his IRA, and the Trust provided for payment of pecuniary bequests to two charities and the residue to be distributed to individuals.</w:t>
      </w:r>
    </w:p>
    <w:p w:rsidR="00840361" w:rsidRPr="006F69DF" w:rsidRDefault="00840361" w:rsidP="009E2201">
      <w:pPr>
        <w:pStyle w:val="Work5"/>
        <w:spacing w:line="480" w:lineRule="auto"/>
        <w:ind w:left="0" w:firstLine="3600"/>
        <w:jc w:val="both"/>
        <w:rPr>
          <w:sz w:val="28"/>
          <w:szCs w:val="28"/>
        </w:rPr>
      </w:pPr>
      <w:r w:rsidRPr="006F69DF">
        <w:rPr>
          <w:sz w:val="28"/>
          <w:szCs w:val="28"/>
        </w:rPr>
        <w:t>A state court ordered a reformation of the Trust, providing that either the Trust’s transfers to the charities were to be treated as direct bequests of the IRA amounts to the charities, or such transfers were to be considered to be made out of the trust’s gross income pursuant to the terms of the governing instrument.</w:t>
      </w:r>
    </w:p>
    <w:p w:rsidR="00840361" w:rsidRPr="006F69DF" w:rsidRDefault="00840361" w:rsidP="009E2201">
      <w:pPr>
        <w:pStyle w:val="Work5"/>
        <w:spacing w:line="480" w:lineRule="auto"/>
        <w:ind w:left="0" w:firstLine="3600"/>
        <w:jc w:val="both"/>
        <w:rPr>
          <w:sz w:val="28"/>
          <w:szCs w:val="28"/>
        </w:rPr>
      </w:pPr>
      <w:r w:rsidRPr="006F69DF">
        <w:rPr>
          <w:sz w:val="28"/>
          <w:szCs w:val="28"/>
        </w:rPr>
        <w:t xml:space="preserve">The IRS ruled that the Trust must treat the payments to the charities as sales or exchanges (since the IRA is being used to satisfy a pecuniary legacy), and the Trust must include </w:t>
      </w:r>
      <w:r>
        <w:rPr>
          <w:sz w:val="28"/>
          <w:szCs w:val="28"/>
        </w:rPr>
        <w:t xml:space="preserve">in </w:t>
      </w:r>
      <w:r w:rsidRPr="006F69DF">
        <w:rPr>
          <w:sz w:val="28"/>
          <w:szCs w:val="28"/>
        </w:rPr>
        <w:t xml:space="preserve">its gross income the amount of the IRA used to satisfy the charitable legacies.  Further, the Trust is </w:t>
      </w:r>
      <w:r w:rsidRPr="006F69DF">
        <w:rPr>
          <w:sz w:val="28"/>
          <w:szCs w:val="28"/>
          <w:u w:val="single"/>
        </w:rPr>
        <w:t>not</w:t>
      </w:r>
      <w:r w:rsidRPr="006F69DF">
        <w:rPr>
          <w:sz w:val="28"/>
          <w:szCs w:val="28"/>
        </w:rPr>
        <w:t xml:space="preserve"> entitled to a charitable income tax deduction for these distributions.  The bottom line was, because the purpose of the reformation was not to resolve a conflict but merely to obtain tax benefits, then the IRS will not respect the reformation and treat it as part of the governing instrument.  PLR 201438014.</w:t>
      </w:r>
    </w:p>
    <w:p w:rsidR="00840361" w:rsidRPr="007A4F72" w:rsidRDefault="00840361" w:rsidP="006C5007">
      <w:pPr>
        <w:pStyle w:val="Work4"/>
        <w:spacing w:line="480" w:lineRule="auto"/>
        <w:ind w:left="0" w:firstLine="2880"/>
        <w:jc w:val="both"/>
        <w:rPr>
          <w:sz w:val="28"/>
          <w:szCs w:val="28"/>
        </w:rPr>
      </w:pPr>
      <w:r>
        <w:rPr>
          <w:sz w:val="28"/>
          <w:szCs w:val="28"/>
        </w:rPr>
        <w:lastRenderedPageBreak/>
        <w:t xml:space="preserve">Careful drafting will be necessary when an </w:t>
      </w:r>
      <w:r w:rsidRPr="009E2F9C">
        <w:rPr>
          <w:sz w:val="28"/>
          <w:szCs w:val="28"/>
        </w:rPr>
        <w:t xml:space="preserve">IRA </w:t>
      </w:r>
      <w:r>
        <w:rPr>
          <w:sz w:val="28"/>
          <w:szCs w:val="28"/>
        </w:rPr>
        <w:t xml:space="preserve">is designated to be distributed </w:t>
      </w:r>
      <w:r w:rsidRPr="009E2F9C">
        <w:rPr>
          <w:sz w:val="28"/>
          <w:szCs w:val="28"/>
        </w:rPr>
        <w:t xml:space="preserve">to </w:t>
      </w:r>
      <w:r>
        <w:rPr>
          <w:sz w:val="28"/>
          <w:szCs w:val="28"/>
        </w:rPr>
        <w:t>a Trust, which contains</w:t>
      </w:r>
      <w:r w:rsidRPr="009E2F9C">
        <w:rPr>
          <w:sz w:val="28"/>
          <w:szCs w:val="28"/>
        </w:rPr>
        <w:t xml:space="preserve"> residuary charitable bequests.</w:t>
      </w:r>
    </w:p>
    <w:p w:rsidR="00840361" w:rsidRPr="00821285" w:rsidRDefault="00840361" w:rsidP="006C5007">
      <w:pPr>
        <w:pStyle w:val="ListParagraph"/>
        <w:numPr>
          <w:ilvl w:val="0"/>
          <w:numId w:val="7"/>
        </w:numPr>
        <w:spacing w:after="0" w:line="480" w:lineRule="auto"/>
        <w:ind w:left="0" w:firstLine="3600"/>
        <w:jc w:val="both"/>
        <w:rPr>
          <w:rFonts w:ascii="Times New Roman" w:hAnsi="Times New Roman" w:cs="Times New Roman"/>
          <w:sz w:val="28"/>
          <w:szCs w:val="28"/>
        </w:rPr>
      </w:pPr>
      <w:r w:rsidRPr="00821285">
        <w:rPr>
          <w:rFonts w:ascii="Times New Roman" w:hAnsi="Times New Roman" w:cs="Times New Roman"/>
          <w:sz w:val="28"/>
          <w:szCs w:val="28"/>
        </w:rPr>
        <w:t>Chief Counsel Memorandum 200848020 (July 28, 2008), provides that a Trust is den</w:t>
      </w:r>
      <w:r>
        <w:rPr>
          <w:rFonts w:ascii="Times New Roman" w:hAnsi="Times New Roman" w:cs="Times New Roman"/>
          <w:sz w:val="28"/>
          <w:szCs w:val="28"/>
        </w:rPr>
        <w:t>i</w:t>
      </w:r>
      <w:r w:rsidRPr="00821285">
        <w:rPr>
          <w:rFonts w:ascii="Times New Roman" w:hAnsi="Times New Roman" w:cs="Times New Roman"/>
          <w:sz w:val="28"/>
          <w:szCs w:val="28"/>
        </w:rPr>
        <w:t>ed a charitable income tax deduction after it receives taxable IRA distributions and then distributes some of those amounts to charities.</w:t>
      </w:r>
    </w:p>
    <w:p w:rsidR="00840361" w:rsidRDefault="00840361" w:rsidP="006C5007">
      <w:pPr>
        <w:pStyle w:val="ListParagraph"/>
        <w:numPr>
          <w:ilvl w:val="1"/>
          <w:numId w:val="7"/>
        </w:numPr>
        <w:spacing w:after="0" w:line="480" w:lineRule="auto"/>
        <w:ind w:left="0" w:firstLine="4320"/>
        <w:jc w:val="both"/>
        <w:rPr>
          <w:rFonts w:ascii="Times New Roman" w:hAnsi="Times New Roman" w:cs="Times New Roman"/>
          <w:sz w:val="28"/>
          <w:szCs w:val="28"/>
        </w:rPr>
      </w:pPr>
      <w:r w:rsidRPr="00631398">
        <w:rPr>
          <w:rFonts w:ascii="Times New Roman" w:hAnsi="Times New Roman" w:cs="Times New Roman"/>
          <w:sz w:val="28"/>
          <w:szCs w:val="28"/>
        </w:rPr>
        <w:t xml:space="preserve">CCM 200848020 involved a decedent who left his IRA payable to his Trust upon his death, which benefited his six children and several charities.  The Trust received distributions from the IRA, and the Trustee immediately paid those amounts to the charities, leaving the six children as the only remaining beneficiaries of the Trust.  The Chief Counsel’s Office concluded that the Trust had taxable income from the IRA distribution, but was </w:t>
      </w:r>
      <w:r w:rsidRPr="00631398">
        <w:rPr>
          <w:rFonts w:ascii="Times New Roman" w:hAnsi="Times New Roman" w:cs="Times New Roman"/>
          <w:sz w:val="28"/>
          <w:szCs w:val="28"/>
          <w:u w:val="single"/>
        </w:rPr>
        <w:t>not</w:t>
      </w:r>
      <w:r w:rsidRPr="00631398">
        <w:rPr>
          <w:rFonts w:ascii="Times New Roman" w:hAnsi="Times New Roman" w:cs="Times New Roman"/>
          <w:sz w:val="28"/>
          <w:szCs w:val="28"/>
        </w:rPr>
        <w:t xml:space="preserve"> entitled to claim an offsetting charitable deduction</w:t>
      </w:r>
      <w:r>
        <w:rPr>
          <w:rFonts w:ascii="Times New Roman" w:hAnsi="Times New Roman" w:cs="Times New Roman"/>
          <w:sz w:val="28"/>
          <w:szCs w:val="28"/>
        </w:rPr>
        <w:t xml:space="preserve"> (remember only an estate may claim an income tax charitable “set aside” deduction”)</w:t>
      </w:r>
      <w:r w:rsidRPr="00631398">
        <w:rPr>
          <w:rFonts w:ascii="Times New Roman" w:hAnsi="Times New Roman" w:cs="Times New Roman"/>
          <w:sz w:val="28"/>
          <w:szCs w:val="28"/>
        </w:rPr>
        <w:t>.</w:t>
      </w:r>
    </w:p>
    <w:p w:rsidR="00840361" w:rsidRPr="00631398" w:rsidRDefault="00840361" w:rsidP="006C5007">
      <w:pPr>
        <w:pStyle w:val="ListParagraph"/>
        <w:numPr>
          <w:ilvl w:val="1"/>
          <w:numId w:val="7"/>
        </w:numPr>
        <w:spacing w:after="0" w:line="480" w:lineRule="auto"/>
        <w:ind w:left="0" w:firstLine="4320"/>
        <w:jc w:val="both"/>
        <w:rPr>
          <w:rFonts w:ascii="Times New Roman" w:hAnsi="Times New Roman" w:cs="Times New Roman"/>
          <w:sz w:val="28"/>
          <w:szCs w:val="28"/>
        </w:rPr>
      </w:pPr>
      <w:r w:rsidRPr="00631398">
        <w:rPr>
          <w:rFonts w:ascii="Times New Roman" w:hAnsi="Times New Roman" w:cs="Times New Roman"/>
          <w:sz w:val="28"/>
          <w:szCs w:val="28"/>
        </w:rPr>
        <w:t>In order for the distribution of IRA proceeds to charity to be deductible</w:t>
      </w:r>
      <w:r>
        <w:rPr>
          <w:rFonts w:ascii="Times New Roman" w:hAnsi="Times New Roman" w:cs="Times New Roman"/>
          <w:sz w:val="28"/>
          <w:szCs w:val="28"/>
        </w:rPr>
        <w:t xml:space="preserve"> by the Trust</w:t>
      </w:r>
      <w:r w:rsidRPr="00631398">
        <w:rPr>
          <w:rFonts w:ascii="Times New Roman" w:hAnsi="Times New Roman" w:cs="Times New Roman"/>
          <w:sz w:val="28"/>
          <w:szCs w:val="28"/>
        </w:rPr>
        <w:t>, t</w:t>
      </w:r>
      <w:r>
        <w:rPr>
          <w:rFonts w:ascii="Times New Roman" w:hAnsi="Times New Roman" w:cs="Times New Roman"/>
          <w:sz w:val="28"/>
          <w:szCs w:val="28"/>
        </w:rPr>
        <w:t>he Trust</w:t>
      </w:r>
      <w:r w:rsidRPr="00631398">
        <w:rPr>
          <w:rFonts w:ascii="Times New Roman" w:hAnsi="Times New Roman" w:cs="Times New Roman"/>
          <w:sz w:val="28"/>
          <w:szCs w:val="28"/>
        </w:rPr>
        <w:t xml:space="preserve"> must meet the legal requirement for </w:t>
      </w:r>
      <w:r>
        <w:rPr>
          <w:rFonts w:ascii="Times New Roman" w:hAnsi="Times New Roman" w:cs="Times New Roman"/>
          <w:sz w:val="28"/>
          <w:szCs w:val="28"/>
        </w:rPr>
        <w:t xml:space="preserve">a </w:t>
      </w:r>
      <w:r w:rsidRPr="00631398">
        <w:rPr>
          <w:rFonts w:ascii="Times New Roman" w:hAnsi="Times New Roman" w:cs="Times New Roman"/>
          <w:sz w:val="28"/>
          <w:szCs w:val="28"/>
        </w:rPr>
        <w:t xml:space="preserve">trust to claim a charitable income deduction.  In order to claim a charitable income tax deduction, the charitable payment must be traced to income </w:t>
      </w:r>
      <w:r w:rsidRPr="000D0D48">
        <w:rPr>
          <w:rFonts w:ascii="Times New Roman" w:hAnsi="Times New Roman" w:cs="Times New Roman"/>
          <w:sz w:val="28"/>
          <w:szCs w:val="28"/>
          <w:u w:val="single"/>
        </w:rPr>
        <w:t>and</w:t>
      </w:r>
      <w:r w:rsidRPr="00631398">
        <w:rPr>
          <w:rFonts w:ascii="Times New Roman" w:hAnsi="Times New Roman" w:cs="Times New Roman"/>
          <w:sz w:val="28"/>
          <w:szCs w:val="28"/>
        </w:rPr>
        <w:t xml:space="preserve"> must generally be made pursuant to the terms of the governing instrument </w:t>
      </w:r>
      <w:r>
        <w:rPr>
          <w:rFonts w:ascii="Times New Roman" w:hAnsi="Times New Roman" w:cs="Times New Roman"/>
          <w:sz w:val="28"/>
          <w:szCs w:val="28"/>
        </w:rPr>
        <w:t xml:space="preserve">specifically </w:t>
      </w:r>
      <w:r w:rsidRPr="00631398">
        <w:rPr>
          <w:rFonts w:ascii="Times New Roman" w:hAnsi="Times New Roman" w:cs="Times New Roman"/>
          <w:sz w:val="28"/>
          <w:szCs w:val="28"/>
        </w:rPr>
        <w:t>requiring income to be paid to a charity.</w:t>
      </w:r>
      <w:r>
        <w:rPr>
          <w:rFonts w:ascii="Times New Roman" w:hAnsi="Times New Roman" w:cs="Times New Roman"/>
          <w:sz w:val="28"/>
          <w:szCs w:val="28"/>
        </w:rPr>
        <w:t xml:space="preserve">  IRC § 642(c).</w:t>
      </w:r>
    </w:p>
    <w:p w:rsidR="00840361" w:rsidRPr="00821285" w:rsidRDefault="00840361" w:rsidP="006C5007">
      <w:pPr>
        <w:pStyle w:val="ListParagraph"/>
        <w:numPr>
          <w:ilvl w:val="1"/>
          <w:numId w:val="7"/>
        </w:numPr>
        <w:spacing w:after="0" w:line="480" w:lineRule="auto"/>
        <w:ind w:left="0" w:firstLine="4320"/>
        <w:jc w:val="both"/>
        <w:rPr>
          <w:rFonts w:ascii="Times New Roman" w:hAnsi="Times New Roman" w:cs="Times New Roman"/>
          <w:sz w:val="28"/>
          <w:szCs w:val="28"/>
        </w:rPr>
      </w:pPr>
      <w:r w:rsidRPr="00821285">
        <w:rPr>
          <w:rFonts w:ascii="Times New Roman" w:hAnsi="Times New Roman" w:cs="Times New Roman"/>
          <w:sz w:val="28"/>
          <w:szCs w:val="28"/>
        </w:rPr>
        <w:lastRenderedPageBreak/>
        <w:t xml:space="preserve">In the Trust involved in CCM 200848020, there was no </w:t>
      </w:r>
      <w:r w:rsidRPr="000D0D48">
        <w:rPr>
          <w:rFonts w:ascii="Times New Roman" w:hAnsi="Times New Roman" w:cs="Times New Roman"/>
          <w:sz w:val="28"/>
          <w:szCs w:val="28"/>
          <w:u w:val="single"/>
        </w:rPr>
        <w:t>specific</w:t>
      </w:r>
      <w:r w:rsidRPr="00821285">
        <w:rPr>
          <w:rFonts w:ascii="Times New Roman" w:hAnsi="Times New Roman" w:cs="Times New Roman"/>
          <w:sz w:val="28"/>
          <w:szCs w:val="28"/>
        </w:rPr>
        <w:t xml:space="preserve"> instruction to distribute income to a charity, just a general provision for a percentage of the residuary to be paid to several charities.  Therefore, the Trust could not claim the charitable income tax reduction.</w:t>
      </w:r>
    </w:p>
    <w:p w:rsidR="00840361" w:rsidRPr="00821285" w:rsidRDefault="00840361" w:rsidP="006C5007">
      <w:pPr>
        <w:pStyle w:val="ListParagraph"/>
        <w:numPr>
          <w:ilvl w:val="0"/>
          <w:numId w:val="7"/>
        </w:numPr>
        <w:spacing w:after="0" w:line="480" w:lineRule="auto"/>
        <w:ind w:left="0" w:firstLine="3600"/>
        <w:jc w:val="both"/>
        <w:rPr>
          <w:rFonts w:ascii="Times New Roman" w:hAnsi="Times New Roman" w:cs="Times New Roman"/>
          <w:sz w:val="28"/>
          <w:szCs w:val="28"/>
        </w:rPr>
      </w:pPr>
      <w:r>
        <w:rPr>
          <w:rFonts w:ascii="Times New Roman" w:hAnsi="Times New Roman" w:cs="Times New Roman"/>
          <w:sz w:val="28"/>
          <w:szCs w:val="28"/>
        </w:rPr>
        <w:t>Ostensibly, one</w:t>
      </w:r>
      <w:r w:rsidRPr="00821285">
        <w:rPr>
          <w:rFonts w:ascii="Times New Roman" w:hAnsi="Times New Roman" w:cs="Times New Roman"/>
          <w:sz w:val="28"/>
          <w:szCs w:val="28"/>
        </w:rPr>
        <w:t xml:space="preserve"> solution </w:t>
      </w:r>
      <w:r>
        <w:rPr>
          <w:rFonts w:ascii="Times New Roman" w:hAnsi="Times New Roman" w:cs="Times New Roman"/>
          <w:sz w:val="28"/>
          <w:szCs w:val="28"/>
        </w:rPr>
        <w:t xml:space="preserve">would be </w:t>
      </w:r>
      <w:r w:rsidRPr="00821285">
        <w:rPr>
          <w:rFonts w:ascii="Times New Roman" w:hAnsi="Times New Roman" w:cs="Times New Roman"/>
          <w:sz w:val="28"/>
          <w:szCs w:val="28"/>
        </w:rPr>
        <w:t xml:space="preserve">to </w:t>
      </w:r>
      <w:r>
        <w:rPr>
          <w:rFonts w:ascii="Times New Roman" w:hAnsi="Times New Roman" w:cs="Times New Roman"/>
          <w:sz w:val="28"/>
          <w:szCs w:val="28"/>
        </w:rPr>
        <w:t xml:space="preserve">include </w:t>
      </w:r>
      <w:r w:rsidRPr="00821285">
        <w:rPr>
          <w:rFonts w:ascii="Times New Roman" w:hAnsi="Times New Roman" w:cs="Times New Roman"/>
          <w:sz w:val="28"/>
          <w:szCs w:val="28"/>
        </w:rPr>
        <w:t>a clause in the Trust document that instructs all residuary charitable gifts to be made, to the extent possible, from property that constitutes “income in respect of the decedent” as that term is defined under the U.S. income tax laws.</w:t>
      </w:r>
    </w:p>
    <w:p w:rsidR="00840361" w:rsidRPr="00821285" w:rsidRDefault="00840361" w:rsidP="006C5007">
      <w:pPr>
        <w:pStyle w:val="ListParagraph"/>
        <w:numPr>
          <w:ilvl w:val="1"/>
          <w:numId w:val="7"/>
        </w:numPr>
        <w:spacing w:after="0" w:line="480" w:lineRule="auto"/>
        <w:ind w:left="0" w:firstLine="4320"/>
        <w:jc w:val="both"/>
        <w:rPr>
          <w:rFonts w:ascii="Times New Roman" w:hAnsi="Times New Roman" w:cs="Times New Roman"/>
          <w:sz w:val="28"/>
          <w:szCs w:val="28"/>
        </w:rPr>
      </w:pPr>
      <w:r>
        <w:rPr>
          <w:rFonts w:ascii="Times New Roman" w:hAnsi="Times New Roman" w:cs="Times New Roman"/>
          <w:sz w:val="28"/>
          <w:szCs w:val="28"/>
        </w:rPr>
        <w:t xml:space="preserve">However, Treas. Reg. § 1.642(c)-3(b)(2) </w:t>
      </w:r>
      <w:r w:rsidRPr="00821285">
        <w:rPr>
          <w:rFonts w:ascii="Times New Roman" w:hAnsi="Times New Roman" w:cs="Times New Roman"/>
          <w:sz w:val="28"/>
          <w:szCs w:val="28"/>
        </w:rPr>
        <w:t>provide</w:t>
      </w:r>
      <w:r>
        <w:rPr>
          <w:rFonts w:ascii="Times New Roman" w:hAnsi="Times New Roman" w:cs="Times New Roman"/>
          <w:sz w:val="28"/>
          <w:szCs w:val="28"/>
        </w:rPr>
        <w:t>s</w:t>
      </w:r>
      <w:r w:rsidRPr="00821285">
        <w:rPr>
          <w:rFonts w:ascii="Times New Roman" w:hAnsi="Times New Roman" w:cs="Times New Roman"/>
          <w:sz w:val="28"/>
          <w:szCs w:val="28"/>
        </w:rPr>
        <w:t xml:space="preserve"> that instructions </w:t>
      </w:r>
      <w:r>
        <w:rPr>
          <w:rFonts w:ascii="Times New Roman" w:hAnsi="Times New Roman" w:cs="Times New Roman"/>
          <w:sz w:val="28"/>
          <w:szCs w:val="28"/>
        </w:rPr>
        <w:t xml:space="preserve">in a trust instrument </w:t>
      </w:r>
      <w:r w:rsidRPr="00821285">
        <w:rPr>
          <w:rFonts w:ascii="Times New Roman" w:hAnsi="Times New Roman" w:cs="Times New Roman"/>
          <w:sz w:val="28"/>
          <w:szCs w:val="28"/>
        </w:rPr>
        <w:t xml:space="preserve">to distribute specific types of income to a charity will not be respected for federal income tax purposes </w:t>
      </w:r>
      <w:r w:rsidRPr="00E62317">
        <w:rPr>
          <w:rFonts w:ascii="Times New Roman" w:hAnsi="Times New Roman" w:cs="Times New Roman"/>
          <w:sz w:val="28"/>
          <w:szCs w:val="28"/>
          <w:u w:val="single"/>
        </w:rPr>
        <w:t>unless</w:t>
      </w:r>
      <w:r w:rsidRPr="00821285">
        <w:rPr>
          <w:rFonts w:ascii="Times New Roman" w:hAnsi="Times New Roman" w:cs="Times New Roman"/>
          <w:sz w:val="28"/>
          <w:szCs w:val="28"/>
        </w:rPr>
        <w:t xml:space="preserve"> the instruction has an “economic effect independent of income tax consequences”.</w:t>
      </w:r>
    </w:p>
    <w:p w:rsidR="00840361" w:rsidRPr="00821285" w:rsidRDefault="00840361" w:rsidP="006C5007">
      <w:pPr>
        <w:pStyle w:val="ListParagraph"/>
        <w:numPr>
          <w:ilvl w:val="1"/>
          <w:numId w:val="7"/>
        </w:numPr>
        <w:spacing w:after="0" w:line="480" w:lineRule="auto"/>
        <w:ind w:left="0" w:firstLine="4320"/>
        <w:jc w:val="both"/>
        <w:rPr>
          <w:rFonts w:ascii="Times New Roman" w:hAnsi="Times New Roman" w:cs="Times New Roman"/>
          <w:sz w:val="28"/>
          <w:szCs w:val="28"/>
        </w:rPr>
      </w:pPr>
      <w:r w:rsidRPr="00821285">
        <w:rPr>
          <w:rFonts w:ascii="Times New Roman" w:hAnsi="Times New Roman" w:cs="Times New Roman"/>
          <w:sz w:val="28"/>
          <w:szCs w:val="28"/>
        </w:rPr>
        <w:t>Th</w:t>
      </w:r>
      <w:r>
        <w:rPr>
          <w:rFonts w:ascii="Times New Roman" w:hAnsi="Times New Roman" w:cs="Times New Roman"/>
          <w:sz w:val="28"/>
          <w:szCs w:val="28"/>
        </w:rPr>
        <w:t>e examples in this Regulation provide that, unless the amount to be paid to charity is dependent upon the type of income from which it is to be paid, the above-described ordering provision is considered to not have economic effect independent of income tax consequences.</w:t>
      </w:r>
    </w:p>
    <w:p w:rsidR="00840361" w:rsidRDefault="00840361" w:rsidP="006C5007">
      <w:pPr>
        <w:pStyle w:val="ListParagraph"/>
        <w:numPr>
          <w:ilvl w:val="0"/>
          <w:numId w:val="7"/>
        </w:numPr>
        <w:spacing w:after="0" w:line="480" w:lineRule="auto"/>
        <w:ind w:left="0" w:firstLine="3600"/>
        <w:jc w:val="both"/>
        <w:rPr>
          <w:rFonts w:ascii="Times New Roman" w:hAnsi="Times New Roman" w:cs="Times New Roman"/>
          <w:sz w:val="28"/>
          <w:szCs w:val="28"/>
        </w:rPr>
      </w:pPr>
      <w:r>
        <w:rPr>
          <w:rFonts w:ascii="Times New Roman" w:hAnsi="Times New Roman" w:cs="Times New Roman"/>
          <w:sz w:val="28"/>
          <w:szCs w:val="28"/>
        </w:rPr>
        <w:t xml:space="preserve">Interestingly, in PLR 201444024, where the Trust was named as the beneficiary of decedent’s IRA and the Trust provided that, after two pecuniary bequests, the residue shall be immediately distributed to charity, the IRS held that the Trust may re-title the name of the IRA to reflect the name of </w:t>
      </w:r>
      <w:r>
        <w:rPr>
          <w:rFonts w:ascii="Times New Roman" w:hAnsi="Times New Roman" w:cs="Times New Roman"/>
          <w:sz w:val="28"/>
          <w:szCs w:val="28"/>
        </w:rPr>
        <w:lastRenderedPageBreak/>
        <w:t>the charity in a non-taxable transfer, and the charity, not the trust, will include the taxable amount of the IRA distributions in charity’s income for tax purposes, as if the charity were the direct beneficiary.</w:t>
      </w:r>
    </w:p>
    <w:p w:rsidR="00840361" w:rsidRDefault="00840361" w:rsidP="006C5007">
      <w:pPr>
        <w:pStyle w:val="ListParagraph"/>
        <w:numPr>
          <w:ilvl w:val="0"/>
          <w:numId w:val="7"/>
        </w:numPr>
        <w:spacing w:after="0" w:line="480" w:lineRule="auto"/>
        <w:ind w:left="0" w:firstLine="3600"/>
        <w:jc w:val="both"/>
        <w:rPr>
          <w:rFonts w:ascii="Times New Roman" w:hAnsi="Times New Roman" w:cs="Times New Roman"/>
          <w:sz w:val="28"/>
          <w:szCs w:val="28"/>
        </w:rPr>
      </w:pPr>
      <w:r w:rsidRPr="00E62317">
        <w:rPr>
          <w:rFonts w:ascii="Times New Roman" w:hAnsi="Times New Roman" w:cs="Times New Roman"/>
          <w:sz w:val="28"/>
          <w:szCs w:val="28"/>
        </w:rPr>
        <w:t>The alternative answer at the planning stage is to draft the beneficiary designation of the IRA so as to mirror the dispositive provisions of the Trust (i.e., list the children and the charities and their respective percentages on the IRA designation itself, rather than sending the IRA to the decedent’s Trust).</w:t>
      </w:r>
    </w:p>
    <w:p w:rsidR="00840361" w:rsidRDefault="00840361" w:rsidP="006C5007">
      <w:pPr>
        <w:pStyle w:val="ListParagraph"/>
        <w:numPr>
          <w:ilvl w:val="0"/>
          <w:numId w:val="7"/>
        </w:numPr>
        <w:spacing w:after="0" w:line="480" w:lineRule="auto"/>
        <w:ind w:left="0" w:firstLine="3600"/>
        <w:jc w:val="both"/>
        <w:rPr>
          <w:rFonts w:ascii="Times New Roman" w:hAnsi="Times New Roman" w:cs="Times New Roman"/>
          <w:sz w:val="28"/>
          <w:szCs w:val="28"/>
        </w:rPr>
      </w:pPr>
      <w:r w:rsidRPr="00E62317">
        <w:rPr>
          <w:rFonts w:ascii="Times New Roman" w:hAnsi="Times New Roman" w:cs="Times New Roman"/>
          <w:sz w:val="28"/>
          <w:szCs w:val="28"/>
        </w:rPr>
        <w:t xml:space="preserve">In addition, the will and/or revocable trust of the decedent must provide </w:t>
      </w:r>
      <w:r>
        <w:rPr>
          <w:rFonts w:ascii="Times New Roman" w:hAnsi="Times New Roman" w:cs="Times New Roman"/>
          <w:sz w:val="28"/>
          <w:szCs w:val="28"/>
        </w:rPr>
        <w:t xml:space="preserve">that </w:t>
      </w:r>
      <w:r w:rsidRPr="00E62317">
        <w:rPr>
          <w:rFonts w:ascii="Times New Roman" w:hAnsi="Times New Roman" w:cs="Times New Roman"/>
          <w:sz w:val="28"/>
          <w:szCs w:val="28"/>
        </w:rPr>
        <w:t>no estate taxes are to be charged agai</w:t>
      </w:r>
      <w:r>
        <w:rPr>
          <w:rFonts w:ascii="Times New Roman" w:hAnsi="Times New Roman" w:cs="Times New Roman"/>
          <w:sz w:val="28"/>
          <w:szCs w:val="28"/>
        </w:rPr>
        <w:t>nst or paid out of the charity’s</w:t>
      </w:r>
      <w:r w:rsidRPr="00E62317">
        <w:rPr>
          <w:rFonts w:ascii="Times New Roman" w:hAnsi="Times New Roman" w:cs="Times New Roman"/>
          <w:sz w:val="28"/>
          <w:szCs w:val="28"/>
        </w:rPr>
        <w:t xml:space="preserve"> share of trust assets.</w:t>
      </w:r>
    </w:p>
    <w:p w:rsidR="00D02EE1" w:rsidRPr="00B330A3" w:rsidRDefault="00B330A3" w:rsidP="00E35818">
      <w:pPr>
        <w:pStyle w:val="Work3"/>
        <w:ind w:left="0" w:firstLine="2160"/>
        <w:jc w:val="both"/>
        <w:rPr>
          <w:sz w:val="28"/>
          <w:szCs w:val="28"/>
        </w:rPr>
      </w:pPr>
      <w:r w:rsidRPr="00B330A3">
        <w:rPr>
          <w:sz w:val="28"/>
          <w:szCs w:val="28"/>
        </w:rPr>
        <w:t>Charitable Remainder Trusts</w:t>
      </w:r>
    </w:p>
    <w:p w:rsidR="00D02EE1" w:rsidRPr="00B330A3" w:rsidRDefault="00D02EE1" w:rsidP="00671412">
      <w:pPr>
        <w:pStyle w:val="Work4"/>
        <w:spacing w:line="480" w:lineRule="auto"/>
        <w:ind w:left="0" w:firstLine="2880"/>
        <w:jc w:val="both"/>
        <w:rPr>
          <w:sz w:val="28"/>
          <w:szCs w:val="28"/>
        </w:rPr>
      </w:pPr>
      <w:r w:rsidRPr="00B330A3">
        <w:rPr>
          <w:sz w:val="28"/>
          <w:szCs w:val="28"/>
        </w:rPr>
        <w:t xml:space="preserve">This technique involves a charitable remainder trust (“CRT”) as that term is defined in IRC </w:t>
      </w:r>
      <w:r w:rsidRPr="00B330A3">
        <w:rPr>
          <w:rFonts w:cs="Times New Roman"/>
          <w:sz w:val="28"/>
          <w:szCs w:val="28"/>
        </w:rPr>
        <w:t>§ </w:t>
      </w:r>
      <w:r w:rsidRPr="00B330A3">
        <w:rPr>
          <w:sz w:val="28"/>
          <w:szCs w:val="28"/>
        </w:rPr>
        <w:t>664.</w:t>
      </w:r>
    </w:p>
    <w:p w:rsidR="00D02EE1" w:rsidRPr="00B330A3" w:rsidRDefault="00D02EE1" w:rsidP="00671412">
      <w:pPr>
        <w:pStyle w:val="Work4"/>
        <w:spacing w:line="480" w:lineRule="auto"/>
        <w:ind w:left="0" w:firstLine="2880"/>
        <w:jc w:val="both"/>
        <w:rPr>
          <w:sz w:val="28"/>
          <w:szCs w:val="28"/>
        </w:rPr>
      </w:pPr>
      <w:r w:rsidRPr="00B330A3">
        <w:rPr>
          <w:sz w:val="28"/>
          <w:szCs w:val="28"/>
        </w:rPr>
        <w:t>Income tax consequences</w:t>
      </w:r>
    </w:p>
    <w:p w:rsidR="00D02EE1" w:rsidRPr="00A34B3E" w:rsidRDefault="00D02EE1" w:rsidP="00671412">
      <w:pPr>
        <w:pStyle w:val="Work5"/>
        <w:numPr>
          <w:ilvl w:val="0"/>
          <w:numId w:val="0"/>
        </w:numPr>
        <w:spacing w:after="0" w:line="480" w:lineRule="auto"/>
        <w:ind w:firstLine="3600"/>
        <w:jc w:val="both"/>
        <w:rPr>
          <w:sz w:val="28"/>
          <w:szCs w:val="28"/>
        </w:rPr>
      </w:pPr>
      <w:r w:rsidRPr="00A34B3E">
        <w:rPr>
          <w:sz w:val="28"/>
          <w:szCs w:val="28"/>
        </w:rPr>
        <w:t>(1)</w:t>
      </w:r>
      <w:r w:rsidRPr="00A34B3E">
        <w:rPr>
          <w:sz w:val="28"/>
          <w:szCs w:val="28"/>
        </w:rPr>
        <w:tab/>
        <w:t>Since a charitable remainder trust is exempt from income tax, the distribution of all the retirement benefits to a charitable remainder trust results in no current income tax liability.</w:t>
      </w:r>
    </w:p>
    <w:p w:rsidR="00D02EE1" w:rsidRDefault="00D02EE1" w:rsidP="00671412">
      <w:pPr>
        <w:pStyle w:val="Work5"/>
        <w:numPr>
          <w:ilvl w:val="6"/>
          <w:numId w:val="44"/>
        </w:numPr>
        <w:spacing w:after="0" w:line="480" w:lineRule="auto"/>
        <w:ind w:left="0" w:firstLine="3600"/>
        <w:jc w:val="both"/>
        <w:rPr>
          <w:sz w:val="28"/>
          <w:szCs w:val="28"/>
        </w:rPr>
      </w:pPr>
      <w:r>
        <w:rPr>
          <w:sz w:val="28"/>
          <w:szCs w:val="28"/>
        </w:rPr>
        <w:lastRenderedPageBreak/>
        <w:t xml:space="preserve">The individual beneficiaries of the charitable remainder trust will receive their lifetime interest earned from the </w:t>
      </w:r>
      <w:r w:rsidRPr="007B0617">
        <w:rPr>
          <w:sz w:val="28"/>
          <w:szCs w:val="28"/>
          <w:u w:val="single"/>
        </w:rPr>
        <w:t>entire amount</w:t>
      </w:r>
      <w:r>
        <w:rPr>
          <w:sz w:val="28"/>
          <w:szCs w:val="28"/>
        </w:rPr>
        <w:t>, as opposed to an after-tax amount, of the distributed retirement benefit interest.</w:t>
      </w:r>
    </w:p>
    <w:p w:rsidR="00D02EE1" w:rsidRDefault="00D02EE1" w:rsidP="00671412">
      <w:pPr>
        <w:pStyle w:val="Work5"/>
        <w:numPr>
          <w:ilvl w:val="6"/>
          <w:numId w:val="44"/>
        </w:numPr>
        <w:spacing w:after="0" w:line="480" w:lineRule="auto"/>
        <w:ind w:left="0" w:firstLine="3600"/>
        <w:jc w:val="both"/>
        <w:rPr>
          <w:sz w:val="28"/>
          <w:szCs w:val="28"/>
        </w:rPr>
      </w:pPr>
      <w:r>
        <w:rPr>
          <w:sz w:val="28"/>
          <w:szCs w:val="28"/>
        </w:rPr>
        <w:t>However, the tax-deferred income received by the CRT must be “booked” from day one by the CRT, and will gradually “leak out” to the individual beneficiaries with the distribution of each lifetime payment.  Under the “tiered” approach to income taxation of CRT distributions, the distribution to the individual lifetime beneficiary is deemed first to be derived from ordinary income earned in all prior years and the current year, to the extent such amount has not already been allocated to a prior distribution.</w:t>
      </w:r>
    </w:p>
    <w:p w:rsidR="00D02EE1" w:rsidRPr="007B0617" w:rsidRDefault="00D02EE1" w:rsidP="00671412">
      <w:pPr>
        <w:pStyle w:val="Work5"/>
        <w:numPr>
          <w:ilvl w:val="6"/>
          <w:numId w:val="44"/>
        </w:numPr>
        <w:spacing w:after="0" w:line="480" w:lineRule="auto"/>
        <w:ind w:left="0" w:firstLine="3600"/>
        <w:jc w:val="both"/>
        <w:rPr>
          <w:sz w:val="28"/>
          <w:szCs w:val="28"/>
        </w:rPr>
      </w:pPr>
      <w:r>
        <w:rPr>
          <w:sz w:val="28"/>
          <w:szCs w:val="28"/>
        </w:rPr>
        <w:t>Although an individual IRA beneficiary is entitled to a Section 691(c) income tax deduction for the portion of federal estate taxes attributable to retirement plan benefits, this deduction is rarely if ever available to an individual beneficiary of a CRT, as all of the tiers of ordinary income, capital gain income and tax exempt income would need to be exhausted before any CRT distribution would carry out the use of the IRD deduction.</w:t>
      </w:r>
    </w:p>
    <w:p w:rsidR="00D02EE1" w:rsidRPr="00154D7D" w:rsidRDefault="00D02EE1" w:rsidP="00671412">
      <w:pPr>
        <w:pStyle w:val="Work3"/>
        <w:numPr>
          <w:ilvl w:val="0"/>
          <w:numId w:val="0"/>
        </w:numPr>
        <w:spacing w:after="0" w:line="480" w:lineRule="auto"/>
        <w:ind w:firstLine="2880"/>
        <w:jc w:val="both"/>
        <w:rPr>
          <w:sz w:val="28"/>
          <w:szCs w:val="28"/>
        </w:rPr>
      </w:pPr>
      <w:r>
        <w:rPr>
          <w:sz w:val="28"/>
          <w:szCs w:val="28"/>
        </w:rPr>
        <w:t>c</w:t>
      </w:r>
      <w:r w:rsidRPr="00154D7D">
        <w:rPr>
          <w:sz w:val="28"/>
          <w:szCs w:val="28"/>
        </w:rPr>
        <w:t>.</w:t>
      </w:r>
      <w:r w:rsidRPr="00154D7D">
        <w:rPr>
          <w:sz w:val="28"/>
          <w:szCs w:val="28"/>
        </w:rPr>
        <w:tab/>
        <w:t>Estate tax consequences</w:t>
      </w:r>
    </w:p>
    <w:p w:rsidR="00D02EE1" w:rsidRDefault="00D02EE1" w:rsidP="00671412">
      <w:pPr>
        <w:pStyle w:val="Work5"/>
        <w:spacing w:after="0" w:line="480" w:lineRule="auto"/>
        <w:ind w:left="0" w:firstLine="3600"/>
        <w:jc w:val="both"/>
        <w:rPr>
          <w:sz w:val="28"/>
          <w:szCs w:val="28"/>
        </w:rPr>
      </w:pPr>
      <w:r>
        <w:rPr>
          <w:sz w:val="28"/>
          <w:szCs w:val="28"/>
        </w:rPr>
        <w:t>The decedent’s estate is entitled to a federal estate tax charitable deduction for the actuarial value of the charitable remainder interest at the time of the decedent’s death.</w:t>
      </w:r>
    </w:p>
    <w:p w:rsidR="00D02EE1" w:rsidRDefault="00D02EE1" w:rsidP="00671412">
      <w:pPr>
        <w:pStyle w:val="Work5"/>
        <w:spacing w:after="0" w:line="480" w:lineRule="auto"/>
        <w:ind w:left="0" w:firstLine="3600"/>
        <w:jc w:val="both"/>
        <w:rPr>
          <w:sz w:val="28"/>
          <w:szCs w:val="28"/>
        </w:rPr>
      </w:pPr>
      <w:r>
        <w:rPr>
          <w:sz w:val="28"/>
          <w:szCs w:val="28"/>
        </w:rPr>
        <w:lastRenderedPageBreak/>
        <w:t>The actuarial value of the charitable remainder interest must be at least ten percent (10%) of the date of death value of the trust in order for the CRT to be qualified.</w:t>
      </w:r>
    </w:p>
    <w:p w:rsidR="00D02EE1" w:rsidRDefault="00D02EE1" w:rsidP="00671412">
      <w:pPr>
        <w:pStyle w:val="Work5"/>
        <w:spacing w:after="0" w:line="480" w:lineRule="auto"/>
        <w:ind w:left="0" w:firstLine="3600"/>
        <w:jc w:val="both"/>
        <w:rPr>
          <w:sz w:val="28"/>
          <w:szCs w:val="28"/>
        </w:rPr>
      </w:pPr>
      <w:r>
        <w:rPr>
          <w:sz w:val="28"/>
          <w:szCs w:val="28"/>
        </w:rPr>
        <w:t>Because the non-charitable actuarial interest in the CRT is taxable in the decedent’s estate, the decedent’s tax clause in his or her will or revocable trust will need to provide for payment of any estate tax attributable to the non-charitable CRT interest from other sources of the decedent’s estate.</w:t>
      </w:r>
    </w:p>
    <w:p w:rsidR="00D02EE1" w:rsidRPr="00ED1BDE" w:rsidRDefault="00730755" w:rsidP="004A57EC">
      <w:pPr>
        <w:pStyle w:val="Work5"/>
        <w:numPr>
          <w:ilvl w:val="0"/>
          <w:numId w:val="0"/>
        </w:numPr>
        <w:tabs>
          <w:tab w:val="left" w:pos="2880"/>
        </w:tabs>
        <w:spacing w:after="0" w:line="480" w:lineRule="auto"/>
        <w:ind w:firstLine="2880"/>
        <w:jc w:val="both"/>
        <w:rPr>
          <w:sz w:val="28"/>
          <w:szCs w:val="28"/>
        </w:rPr>
      </w:pPr>
      <w:r>
        <w:rPr>
          <w:sz w:val="28"/>
          <w:szCs w:val="28"/>
        </w:rPr>
        <w:t>d.</w:t>
      </w:r>
      <w:r>
        <w:rPr>
          <w:sz w:val="28"/>
          <w:szCs w:val="28"/>
        </w:rPr>
        <w:tab/>
      </w:r>
      <w:r w:rsidR="00D02EE1" w:rsidRPr="00ED1BDE">
        <w:rPr>
          <w:sz w:val="28"/>
          <w:szCs w:val="28"/>
        </w:rPr>
        <w:t>Leaving a retirement plan interest to a CRT is not a good idea in all situations.</w:t>
      </w:r>
    </w:p>
    <w:p w:rsidR="00D02EE1" w:rsidRDefault="007C3EE4" w:rsidP="004A57EC">
      <w:pPr>
        <w:pStyle w:val="Work5"/>
        <w:numPr>
          <w:ilvl w:val="0"/>
          <w:numId w:val="0"/>
        </w:numPr>
        <w:spacing w:after="0" w:line="480" w:lineRule="auto"/>
        <w:ind w:firstLine="3600"/>
        <w:jc w:val="both"/>
        <w:rPr>
          <w:sz w:val="28"/>
          <w:szCs w:val="28"/>
        </w:rPr>
      </w:pPr>
      <w:r>
        <w:rPr>
          <w:sz w:val="28"/>
          <w:szCs w:val="28"/>
        </w:rPr>
        <w:t>(1)</w:t>
      </w:r>
      <w:r>
        <w:rPr>
          <w:sz w:val="28"/>
          <w:szCs w:val="28"/>
        </w:rPr>
        <w:tab/>
      </w:r>
      <w:r w:rsidR="00D02EE1">
        <w:rPr>
          <w:sz w:val="28"/>
          <w:szCs w:val="28"/>
        </w:rPr>
        <w:t>If the individual beneficiary or beneficiaries are young enough, the actuarial value of the charitable interest may not exceed ten percent (10%) of the total value of the trust, and the trust will not qualify as a CRT.  However, a term of years could be used to make the CRT work in this situation.</w:t>
      </w:r>
    </w:p>
    <w:p w:rsidR="00D02EE1" w:rsidRDefault="007C3EE4" w:rsidP="004A57EC">
      <w:pPr>
        <w:pStyle w:val="Work5"/>
        <w:numPr>
          <w:ilvl w:val="0"/>
          <w:numId w:val="0"/>
        </w:numPr>
        <w:spacing w:after="0" w:line="480" w:lineRule="auto"/>
        <w:ind w:firstLine="3600"/>
        <w:jc w:val="both"/>
        <w:rPr>
          <w:sz w:val="28"/>
          <w:szCs w:val="28"/>
        </w:rPr>
      </w:pPr>
      <w:r>
        <w:rPr>
          <w:sz w:val="28"/>
          <w:szCs w:val="28"/>
        </w:rPr>
        <w:t xml:space="preserve">(2) </w:t>
      </w:r>
      <w:r>
        <w:rPr>
          <w:sz w:val="28"/>
          <w:szCs w:val="28"/>
        </w:rPr>
        <w:tab/>
      </w:r>
      <w:r w:rsidR="00D02EE1">
        <w:rPr>
          <w:sz w:val="28"/>
          <w:szCs w:val="28"/>
        </w:rPr>
        <w:t>If the CRT will receive a large amount of retirement benefits, it is possible that there will not be enough non-retirement assets to pay any estate tax due because of the actuarial value of the non-charitable interest in the CRT.</w:t>
      </w:r>
    </w:p>
    <w:p w:rsidR="00D02EE1" w:rsidRPr="00ED1BDE" w:rsidRDefault="00F617B1" w:rsidP="004A57EC">
      <w:pPr>
        <w:pStyle w:val="Work5"/>
        <w:numPr>
          <w:ilvl w:val="0"/>
          <w:numId w:val="0"/>
        </w:numPr>
        <w:spacing w:after="0" w:line="480" w:lineRule="auto"/>
        <w:ind w:firstLine="2880"/>
        <w:jc w:val="both"/>
        <w:rPr>
          <w:sz w:val="28"/>
          <w:szCs w:val="28"/>
        </w:rPr>
      </w:pPr>
      <w:r>
        <w:rPr>
          <w:sz w:val="28"/>
          <w:szCs w:val="28"/>
        </w:rPr>
        <w:t>e.</w:t>
      </w:r>
      <w:r>
        <w:rPr>
          <w:sz w:val="28"/>
          <w:szCs w:val="28"/>
        </w:rPr>
        <w:tab/>
      </w:r>
      <w:r w:rsidR="00D02EE1" w:rsidRPr="00ED1BDE">
        <w:rPr>
          <w:sz w:val="28"/>
          <w:szCs w:val="28"/>
        </w:rPr>
        <w:t>If the “stretch IRA” technique is eliminated, then a designation of a charitable remainder trust will allow some “stretching” to still occur.</w:t>
      </w:r>
    </w:p>
    <w:p w:rsidR="00D02EE1" w:rsidRPr="00ED1BDE" w:rsidRDefault="00F617B1" w:rsidP="00E35818">
      <w:pPr>
        <w:pStyle w:val="Work3"/>
        <w:numPr>
          <w:ilvl w:val="0"/>
          <w:numId w:val="0"/>
        </w:numPr>
        <w:spacing w:after="0" w:line="480" w:lineRule="auto"/>
        <w:ind w:firstLine="2160"/>
        <w:jc w:val="both"/>
        <w:rPr>
          <w:sz w:val="28"/>
          <w:szCs w:val="28"/>
        </w:rPr>
      </w:pPr>
      <w:r>
        <w:rPr>
          <w:sz w:val="28"/>
          <w:szCs w:val="28"/>
        </w:rPr>
        <w:t>4.</w:t>
      </w:r>
      <w:r>
        <w:rPr>
          <w:sz w:val="28"/>
          <w:szCs w:val="28"/>
        </w:rPr>
        <w:tab/>
      </w:r>
      <w:r w:rsidR="00D02EE1" w:rsidRPr="00ED1BDE">
        <w:rPr>
          <w:sz w:val="28"/>
          <w:szCs w:val="28"/>
        </w:rPr>
        <w:t>Charitable Lead Trusts</w:t>
      </w:r>
    </w:p>
    <w:p w:rsidR="00D02EE1" w:rsidRPr="0047467A" w:rsidRDefault="00DC4280" w:rsidP="004A57EC">
      <w:pPr>
        <w:pStyle w:val="Work6"/>
        <w:numPr>
          <w:ilvl w:val="0"/>
          <w:numId w:val="0"/>
        </w:numPr>
        <w:spacing w:line="480" w:lineRule="auto"/>
        <w:ind w:firstLine="2880"/>
        <w:jc w:val="both"/>
        <w:rPr>
          <w:sz w:val="28"/>
          <w:szCs w:val="28"/>
        </w:rPr>
      </w:pPr>
      <w:r>
        <w:rPr>
          <w:sz w:val="28"/>
          <w:szCs w:val="28"/>
        </w:rPr>
        <w:lastRenderedPageBreak/>
        <w:t>a.</w:t>
      </w:r>
      <w:r>
        <w:rPr>
          <w:sz w:val="28"/>
          <w:szCs w:val="28"/>
        </w:rPr>
        <w:tab/>
      </w:r>
      <w:r w:rsidR="00D02EE1" w:rsidRPr="0047467A">
        <w:rPr>
          <w:sz w:val="28"/>
          <w:szCs w:val="28"/>
        </w:rPr>
        <w:t>Since a charitable lead trust (“CLT”) is the theoretical opposite of a charitable remainder trust (i.e., the initial stream of payments is paid to a charity for a term of years, with the remainder passing to one or more individuals at the end of the term), this seems on its face to be a viable technique.</w:t>
      </w:r>
    </w:p>
    <w:p w:rsidR="00D02EE1" w:rsidRPr="0047467A" w:rsidRDefault="00DC4280" w:rsidP="004A57EC">
      <w:pPr>
        <w:pStyle w:val="Work6"/>
        <w:numPr>
          <w:ilvl w:val="0"/>
          <w:numId w:val="0"/>
        </w:numPr>
        <w:spacing w:line="480" w:lineRule="auto"/>
        <w:ind w:firstLine="2880"/>
        <w:jc w:val="both"/>
        <w:rPr>
          <w:sz w:val="28"/>
          <w:szCs w:val="28"/>
        </w:rPr>
      </w:pPr>
      <w:r>
        <w:rPr>
          <w:sz w:val="28"/>
          <w:szCs w:val="28"/>
        </w:rPr>
        <w:t>b.</w:t>
      </w:r>
      <w:r>
        <w:rPr>
          <w:sz w:val="28"/>
          <w:szCs w:val="28"/>
        </w:rPr>
        <w:tab/>
      </w:r>
      <w:r w:rsidR="00D02EE1" w:rsidRPr="0047467A">
        <w:rPr>
          <w:sz w:val="28"/>
          <w:szCs w:val="28"/>
        </w:rPr>
        <w:t xml:space="preserve">However, the charitable lead trust has one important characteristic which is different from a CRT; the CLT is </w:t>
      </w:r>
      <w:r w:rsidR="00D02EE1" w:rsidRPr="0047467A">
        <w:rPr>
          <w:sz w:val="28"/>
          <w:szCs w:val="28"/>
          <w:u w:val="single"/>
        </w:rPr>
        <w:t>not</w:t>
      </w:r>
      <w:r w:rsidR="00D02EE1" w:rsidRPr="0047467A">
        <w:rPr>
          <w:sz w:val="28"/>
          <w:szCs w:val="28"/>
        </w:rPr>
        <w:t xml:space="preserve"> exempt from income tax.  Therefore, when all of the retirement benefits are distributed to the CLT, the trust must pay income tax on the entire amount of benefits distributed.</w:t>
      </w:r>
    </w:p>
    <w:p w:rsidR="00D02EE1" w:rsidRDefault="00657949" w:rsidP="004A57EC">
      <w:pPr>
        <w:pStyle w:val="Work6"/>
        <w:numPr>
          <w:ilvl w:val="0"/>
          <w:numId w:val="0"/>
        </w:numPr>
        <w:spacing w:line="480" w:lineRule="auto"/>
        <w:ind w:firstLine="2880"/>
        <w:jc w:val="both"/>
        <w:rPr>
          <w:sz w:val="28"/>
          <w:szCs w:val="28"/>
        </w:rPr>
      </w:pPr>
      <w:r>
        <w:rPr>
          <w:sz w:val="28"/>
          <w:szCs w:val="28"/>
        </w:rPr>
        <w:t>c.</w:t>
      </w:r>
      <w:r>
        <w:rPr>
          <w:sz w:val="28"/>
          <w:szCs w:val="28"/>
        </w:rPr>
        <w:tab/>
      </w:r>
      <w:r w:rsidR="00D02EE1" w:rsidRPr="0047467A">
        <w:rPr>
          <w:sz w:val="28"/>
          <w:szCs w:val="28"/>
        </w:rPr>
        <w:t>Because of the drastic income tax consequences, one should not advise leaving retirement benefits to a CLT.</w:t>
      </w:r>
    </w:p>
    <w:p w:rsidR="00840361" w:rsidRPr="00A64FC8" w:rsidRDefault="00F13CD6" w:rsidP="004A57EC">
      <w:pPr>
        <w:pStyle w:val="Work1"/>
        <w:numPr>
          <w:ilvl w:val="0"/>
          <w:numId w:val="0"/>
        </w:numPr>
        <w:spacing w:line="480" w:lineRule="auto"/>
        <w:ind w:firstLine="720"/>
        <w:jc w:val="both"/>
        <w:rPr>
          <w:w w:val="103"/>
          <w:sz w:val="28"/>
          <w:szCs w:val="28"/>
        </w:rPr>
      </w:pPr>
      <w:r>
        <w:rPr>
          <w:w w:val="103"/>
          <w:sz w:val="28"/>
          <w:szCs w:val="28"/>
        </w:rPr>
        <w:t>V</w:t>
      </w:r>
      <w:r w:rsidR="007403F7">
        <w:rPr>
          <w:w w:val="103"/>
          <w:sz w:val="28"/>
          <w:szCs w:val="28"/>
        </w:rPr>
        <w:t>I</w:t>
      </w:r>
      <w:r>
        <w:rPr>
          <w:w w:val="103"/>
          <w:sz w:val="28"/>
          <w:szCs w:val="28"/>
        </w:rPr>
        <w:t>I.</w:t>
      </w:r>
      <w:r>
        <w:rPr>
          <w:w w:val="103"/>
          <w:sz w:val="28"/>
          <w:szCs w:val="28"/>
        </w:rPr>
        <w:tab/>
      </w:r>
      <w:r w:rsidR="00840361">
        <w:rPr>
          <w:w w:val="103"/>
          <w:sz w:val="28"/>
          <w:szCs w:val="28"/>
        </w:rPr>
        <w:t>LIFETIME GIFTS OF QUALIFIED RETIREMENT BENEFITS TO CHARITY</w:t>
      </w:r>
    </w:p>
    <w:p w:rsidR="00840361" w:rsidRDefault="007403F7" w:rsidP="004A57EC">
      <w:pPr>
        <w:pStyle w:val="Work2"/>
        <w:numPr>
          <w:ilvl w:val="0"/>
          <w:numId w:val="0"/>
        </w:numPr>
        <w:ind w:firstLine="1440"/>
        <w:jc w:val="both"/>
        <w:rPr>
          <w:w w:val="103"/>
          <w:sz w:val="28"/>
          <w:szCs w:val="28"/>
        </w:rPr>
      </w:pPr>
      <w:r>
        <w:rPr>
          <w:w w:val="103"/>
          <w:sz w:val="28"/>
          <w:szCs w:val="28"/>
        </w:rPr>
        <w:t>A.</w:t>
      </w:r>
      <w:r>
        <w:rPr>
          <w:w w:val="103"/>
          <w:sz w:val="28"/>
          <w:szCs w:val="28"/>
        </w:rPr>
        <w:tab/>
      </w:r>
      <w:r w:rsidR="00840361">
        <w:rPr>
          <w:w w:val="103"/>
          <w:sz w:val="28"/>
          <w:szCs w:val="28"/>
        </w:rPr>
        <w:t>Lifetime Gifts From Retirement Plan Distributions</w:t>
      </w:r>
    </w:p>
    <w:p w:rsidR="00840361" w:rsidRDefault="007403F7" w:rsidP="00E35818">
      <w:pPr>
        <w:pStyle w:val="Work3"/>
        <w:numPr>
          <w:ilvl w:val="0"/>
          <w:numId w:val="0"/>
        </w:numPr>
        <w:spacing w:line="480" w:lineRule="auto"/>
        <w:ind w:firstLine="2160"/>
        <w:jc w:val="both"/>
        <w:rPr>
          <w:w w:val="103"/>
          <w:sz w:val="28"/>
          <w:szCs w:val="28"/>
        </w:rPr>
      </w:pPr>
      <w:r>
        <w:rPr>
          <w:w w:val="103"/>
          <w:sz w:val="28"/>
          <w:szCs w:val="28"/>
        </w:rPr>
        <w:t>1.</w:t>
      </w:r>
      <w:r>
        <w:rPr>
          <w:w w:val="103"/>
          <w:sz w:val="28"/>
          <w:szCs w:val="28"/>
        </w:rPr>
        <w:tab/>
      </w:r>
      <w:r w:rsidR="00840361" w:rsidRPr="00A64FC8">
        <w:rPr>
          <w:w w:val="103"/>
          <w:sz w:val="28"/>
          <w:szCs w:val="28"/>
        </w:rPr>
        <w:t>For some of our clients</w:t>
      </w:r>
      <w:r w:rsidR="00840361">
        <w:rPr>
          <w:w w:val="103"/>
          <w:sz w:val="28"/>
          <w:szCs w:val="28"/>
        </w:rPr>
        <w:t>, the most readily available funds with which to make lifetime charitable gifts are their retirement plan funds.</w:t>
      </w:r>
    </w:p>
    <w:p w:rsidR="00840361" w:rsidRDefault="007403F7" w:rsidP="00E35818">
      <w:pPr>
        <w:pStyle w:val="Work3"/>
        <w:numPr>
          <w:ilvl w:val="0"/>
          <w:numId w:val="0"/>
        </w:numPr>
        <w:spacing w:line="480" w:lineRule="auto"/>
        <w:ind w:firstLine="2160"/>
        <w:jc w:val="both"/>
        <w:rPr>
          <w:w w:val="103"/>
          <w:sz w:val="28"/>
          <w:szCs w:val="28"/>
        </w:rPr>
      </w:pPr>
      <w:r>
        <w:rPr>
          <w:w w:val="103"/>
          <w:sz w:val="28"/>
          <w:szCs w:val="28"/>
        </w:rPr>
        <w:lastRenderedPageBreak/>
        <w:t>2.</w:t>
      </w:r>
      <w:r>
        <w:rPr>
          <w:w w:val="103"/>
          <w:sz w:val="28"/>
          <w:szCs w:val="28"/>
        </w:rPr>
        <w:tab/>
      </w:r>
      <w:r w:rsidR="00840361">
        <w:rPr>
          <w:w w:val="103"/>
          <w:sz w:val="28"/>
          <w:szCs w:val="28"/>
        </w:rPr>
        <w:t>Except for the charitable IRA rollover discussed below, the only way for this client to make such a gift is to withdraw funds from the qualified plan or IRA and then gift such funds to the charity.</w:t>
      </w:r>
    </w:p>
    <w:p w:rsidR="00840361" w:rsidRDefault="007403F7" w:rsidP="004A57EC">
      <w:pPr>
        <w:pStyle w:val="Work4"/>
        <w:numPr>
          <w:ilvl w:val="0"/>
          <w:numId w:val="0"/>
        </w:numPr>
        <w:spacing w:line="480" w:lineRule="auto"/>
        <w:ind w:firstLine="2880"/>
        <w:jc w:val="both"/>
        <w:rPr>
          <w:w w:val="103"/>
          <w:sz w:val="28"/>
          <w:szCs w:val="28"/>
        </w:rPr>
      </w:pPr>
      <w:r>
        <w:rPr>
          <w:w w:val="103"/>
          <w:sz w:val="28"/>
          <w:szCs w:val="28"/>
        </w:rPr>
        <w:t>a.</w:t>
      </w:r>
      <w:r>
        <w:rPr>
          <w:w w:val="103"/>
          <w:sz w:val="28"/>
          <w:szCs w:val="28"/>
        </w:rPr>
        <w:tab/>
      </w:r>
      <w:r w:rsidR="00840361" w:rsidRPr="00A64FC8">
        <w:rPr>
          <w:w w:val="103"/>
          <w:sz w:val="28"/>
          <w:szCs w:val="28"/>
        </w:rPr>
        <w:t>This of course results in the immediate taxation of the distributed assets from the plan on the donor’s income tax return.</w:t>
      </w:r>
    </w:p>
    <w:p w:rsidR="00840361" w:rsidRDefault="007403F7" w:rsidP="004A57EC">
      <w:pPr>
        <w:pStyle w:val="Work4"/>
        <w:numPr>
          <w:ilvl w:val="0"/>
          <w:numId w:val="0"/>
        </w:numPr>
        <w:spacing w:line="480" w:lineRule="auto"/>
        <w:ind w:firstLine="2880"/>
        <w:jc w:val="both"/>
        <w:rPr>
          <w:w w:val="103"/>
          <w:sz w:val="28"/>
          <w:szCs w:val="28"/>
        </w:rPr>
      </w:pPr>
      <w:r>
        <w:rPr>
          <w:w w:val="103"/>
          <w:sz w:val="28"/>
          <w:szCs w:val="28"/>
        </w:rPr>
        <w:t>b.</w:t>
      </w:r>
      <w:r>
        <w:rPr>
          <w:w w:val="103"/>
          <w:sz w:val="28"/>
          <w:szCs w:val="28"/>
        </w:rPr>
        <w:tab/>
      </w:r>
      <w:r w:rsidR="00840361">
        <w:rPr>
          <w:w w:val="103"/>
          <w:sz w:val="28"/>
          <w:szCs w:val="28"/>
        </w:rPr>
        <w:t>One would hope that the income tax charitable deduction will result in a “wash” of this income for income tax purposes.  However, there are some circumstances which will prevent a complete wash of the income.</w:t>
      </w:r>
    </w:p>
    <w:p w:rsidR="00840361" w:rsidRDefault="007403F7" w:rsidP="004A57EC">
      <w:pPr>
        <w:pStyle w:val="Work5"/>
        <w:numPr>
          <w:ilvl w:val="0"/>
          <w:numId w:val="0"/>
        </w:numPr>
        <w:spacing w:line="480" w:lineRule="auto"/>
        <w:ind w:firstLine="3600"/>
        <w:jc w:val="both"/>
        <w:rPr>
          <w:w w:val="103"/>
          <w:sz w:val="28"/>
          <w:szCs w:val="28"/>
        </w:rPr>
      </w:pPr>
      <w:r>
        <w:rPr>
          <w:w w:val="103"/>
          <w:sz w:val="28"/>
          <w:szCs w:val="28"/>
        </w:rPr>
        <w:t>(1)</w:t>
      </w:r>
      <w:r>
        <w:rPr>
          <w:w w:val="103"/>
          <w:sz w:val="28"/>
          <w:szCs w:val="28"/>
        </w:rPr>
        <w:tab/>
      </w:r>
      <w:r w:rsidR="00840361" w:rsidRPr="00A64FC8">
        <w:rPr>
          <w:w w:val="103"/>
          <w:sz w:val="28"/>
          <w:szCs w:val="28"/>
        </w:rPr>
        <w:t>If the charitable donations exceed the applicable percentage of AGI limits, then a complete wash will not result.</w:t>
      </w:r>
    </w:p>
    <w:p w:rsidR="00840361" w:rsidRDefault="007403F7" w:rsidP="004A57EC">
      <w:pPr>
        <w:pStyle w:val="Work5"/>
        <w:numPr>
          <w:ilvl w:val="0"/>
          <w:numId w:val="0"/>
        </w:numPr>
        <w:spacing w:line="480" w:lineRule="auto"/>
        <w:ind w:firstLine="3600"/>
        <w:jc w:val="both"/>
        <w:rPr>
          <w:w w:val="103"/>
          <w:sz w:val="28"/>
          <w:szCs w:val="28"/>
        </w:rPr>
      </w:pPr>
      <w:r>
        <w:rPr>
          <w:w w:val="103"/>
          <w:sz w:val="28"/>
          <w:szCs w:val="28"/>
        </w:rPr>
        <w:t>(2)</w:t>
      </w:r>
      <w:r>
        <w:rPr>
          <w:w w:val="103"/>
          <w:sz w:val="28"/>
          <w:szCs w:val="28"/>
        </w:rPr>
        <w:tab/>
      </w:r>
      <w:r w:rsidR="00840361">
        <w:rPr>
          <w:w w:val="103"/>
          <w:sz w:val="28"/>
          <w:szCs w:val="28"/>
        </w:rPr>
        <w:t xml:space="preserve">For high income taxpayers, there is an automatic reduction of itemized deductions under Code </w:t>
      </w:r>
      <w:r w:rsidR="00840361">
        <w:rPr>
          <w:rFonts w:cs="Times New Roman"/>
          <w:w w:val="103"/>
          <w:sz w:val="28"/>
          <w:szCs w:val="28"/>
        </w:rPr>
        <w:t>§ </w:t>
      </w:r>
      <w:r w:rsidR="00840361">
        <w:rPr>
          <w:w w:val="103"/>
          <w:sz w:val="28"/>
          <w:szCs w:val="28"/>
        </w:rPr>
        <w:t>68 which could also prevent a complete wash of the income.</w:t>
      </w:r>
    </w:p>
    <w:p w:rsidR="00840361" w:rsidRDefault="003B127A" w:rsidP="004A57EC">
      <w:pPr>
        <w:pStyle w:val="Work5"/>
        <w:numPr>
          <w:ilvl w:val="0"/>
          <w:numId w:val="0"/>
        </w:numPr>
        <w:spacing w:line="480" w:lineRule="auto"/>
        <w:ind w:firstLine="3600"/>
        <w:jc w:val="both"/>
        <w:rPr>
          <w:w w:val="103"/>
          <w:sz w:val="28"/>
          <w:szCs w:val="28"/>
        </w:rPr>
      </w:pPr>
      <w:r>
        <w:rPr>
          <w:w w:val="103"/>
          <w:sz w:val="28"/>
          <w:szCs w:val="28"/>
        </w:rPr>
        <w:t>(3)</w:t>
      </w:r>
      <w:r>
        <w:rPr>
          <w:w w:val="103"/>
          <w:sz w:val="28"/>
          <w:szCs w:val="28"/>
        </w:rPr>
        <w:tab/>
      </w:r>
      <w:r w:rsidR="00840361">
        <w:rPr>
          <w:w w:val="103"/>
          <w:sz w:val="28"/>
          <w:szCs w:val="28"/>
        </w:rPr>
        <w:t>Of course, if the taxpayer is under age 59½ at the time of the withdrawal, he or she will suffer a ten percent (10%) penalty on the distribution.  The charitable deduction will not in any way reduce this penalty.</w:t>
      </w:r>
    </w:p>
    <w:p w:rsidR="00840361" w:rsidRDefault="003B127A" w:rsidP="004A57EC">
      <w:pPr>
        <w:pStyle w:val="Work5"/>
        <w:numPr>
          <w:ilvl w:val="0"/>
          <w:numId w:val="0"/>
        </w:numPr>
        <w:spacing w:line="480" w:lineRule="auto"/>
        <w:ind w:firstLine="3600"/>
        <w:jc w:val="both"/>
        <w:rPr>
          <w:w w:val="103"/>
          <w:sz w:val="28"/>
          <w:szCs w:val="28"/>
        </w:rPr>
      </w:pPr>
      <w:r>
        <w:rPr>
          <w:w w:val="103"/>
          <w:sz w:val="28"/>
          <w:szCs w:val="28"/>
        </w:rPr>
        <w:lastRenderedPageBreak/>
        <w:t>(4)</w:t>
      </w:r>
      <w:r>
        <w:rPr>
          <w:w w:val="103"/>
          <w:sz w:val="28"/>
          <w:szCs w:val="28"/>
        </w:rPr>
        <w:tab/>
      </w:r>
      <w:r w:rsidR="00840361">
        <w:rPr>
          <w:w w:val="103"/>
          <w:sz w:val="28"/>
          <w:szCs w:val="28"/>
        </w:rPr>
        <w:t>If the taxpayer resides in a state that does not allow a charitable deduction in computing its state income tax, then a complete wash will not be possible.</w:t>
      </w:r>
    </w:p>
    <w:p w:rsidR="00840361" w:rsidRDefault="003B127A" w:rsidP="004A57EC">
      <w:pPr>
        <w:pStyle w:val="Work5"/>
        <w:numPr>
          <w:ilvl w:val="0"/>
          <w:numId w:val="0"/>
        </w:numPr>
        <w:spacing w:line="480" w:lineRule="auto"/>
        <w:ind w:firstLine="3600"/>
        <w:jc w:val="both"/>
        <w:rPr>
          <w:w w:val="103"/>
          <w:sz w:val="28"/>
          <w:szCs w:val="28"/>
        </w:rPr>
      </w:pPr>
      <w:r>
        <w:rPr>
          <w:w w:val="103"/>
          <w:sz w:val="28"/>
          <w:szCs w:val="28"/>
        </w:rPr>
        <w:t>(5)</w:t>
      </w:r>
      <w:r>
        <w:rPr>
          <w:w w:val="103"/>
          <w:sz w:val="28"/>
          <w:szCs w:val="28"/>
        </w:rPr>
        <w:tab/>
      </w:r>
      <w:r w:rsidR="00840361">
        <w:rPr>
          <w:w w:val="103"/>
          <w:sz w:val="28"/>
          <w:szCs w:val="28"/>
        </w:rPr>
        <w:t>Of course, any individual who does not itemize deductions would not achieve a wash of the income since he or she would not be itemizing the charitable deduction.</w:t>
      </w:r>
    </w:p>
    <w:p w:rsidR="00840361" w:rsidRDefault="003B127A" w:rsidP="004A57EC">
      <w:pPr>
        <w:pStyle w:val="Work2"/>
        <w:numPr>
          <w:ilvl w:val="0"/>
          <w:numId w:val="0"/>
        </w:numPr>
        <w:spacing w:line="480" w:lineRule="auto"/>
        <w:ind w:firstLine="1440"/>
        <w:jc w:val="both"/>
        <w:rPr>
          <w:w w:val="103"/>
          <w:sz w:val="28"/>
          <w:szCs w:val="28"/>
        </w:rPr>
      </w:pPr>
      <w:r>
        <w:rPr>
          <w:w w:val="103"/>
          <w:sz w:val="28"/>
          <w:szCs w:val="28"/>
        </w:rPr>
        <w:t>B.</w:t>
      </w:r>
      <w:r>
        <w:rPr>
          <w:w w:val="103"/>
          <w:sz w:val="28"/>
          <w:szCs w:val="28"/>
        </w:rPr>
        <w:tab/>
      </w:r>
      <w:r w:rsidR="00840361" w:rsidRPr="00B31B09">
        <w:rPr>
          <w:w w:val="103"/>
          <w:sz w:val="28"/>
          <w:szCs w:val="28"/>
        </w:rPr>
        <w:t xml:space="preserve">Gifts of </w:t>
      </w:r>
      <w:r w:rsidR="00840361">
        <w:rPr>
          <w:w w:val="103"/>
          <w:sz w:val="28"/>
          <w:szCs w:val="28"/>
        </w:rPr>
        <w:t>RMD Amounts to Charity(s)</w:t>
      </w:r>
    </w:p>
    <w:p w:rsidR="00840361" w:rsidRDefault="003B127A" w:rsidP="00E35818">
      <w:pPr>
        <w:pStyle w:val="Work3"/>
        <w:numPr>
          <w:ilvl w:val="0"/>
          <w:numId w:val="0"/>
        </w:numPr>
        <w:spacing w:line="480" w:lineRule="auto"/>
        <w:ind w:firstLine="2160"/>
        <w:jc w:val="both"/>
        <w:rPr>
          <w:w w:val="103"/>
          <w:sz w:val="28"/>
          <w:szCs w:val="28"/>
        </w:rPr>
      </w:pPr>
      <w:r>
        <w:rPr>
          <w:w w:val="103"/>
          <w:sz w:val="28"/>
          <w:szCs w:val="28"/>
        </w:rPr>
        <w:t>1.</w:t>
      </w:r>
      <w:r>
        <w:rPr>
          <w:w w:val="103"/>
          <w:sz w:val="28"/>
          <w:szCs w:val="28"/>
        </w:rPr>
        <w:tab/>
      </w:r>
      <w:r w:rsidR="00840361">
        <w:rPr>
          <w:w w:val="103"/>
          <w:sz w:val="28"/>
          <w:szCs w:val="28"/>
        </w:rPr>
        <w:t>A taxpayer who is already receiving RMDs from his or her IRA or qualified plan may use the distributed amounts for charitable giving.</w:t>
      </w:r>
    </w:p>
    <w:p w:rsidR="00840361" w:rsidRDefault="003B127A" w:rsidP="00E35818">
      <w:pPr>
        <w:pStyle w:val="Work3"/>
        <w:numPr>
          <w:ilvl w:val="0"/>
          <w:numId w:val="0"/>
        </w:numPr>
        <w:spacing w:line="480" w:lineRule="auto"/>
        <w:ind w:firstLine="2160"/>
        <w:jc w:val="both"/>
        <w:rPr>
          <w:w w:val="103"/>
          <w:sz w:val="28"/>
          <w:szCs w:val="28"/>
        </w:rPr>
      </w:pPr>
      <w:r>
        <w:rPr>
          <w:w w:val="103"/>
          <w:sz w:val="28"/>
          <w:szCs w:val="28"/>
        </w:rPr>
        <w:t>2.</w:t>
      </w:r>
      <w:r>
        <w:rPr>
          <w:w w:val="103"/>
          <w:sz w:val="28"/>
          <w:szCs w:val="28"/>
        </w:rPr>
        <w:tab/>
      </w:r>
      <w:r w:rsidR="00840361">
        <w:rPr>
          <w:w w:val="103"/>
          <w:sz w:val="28"/>
          <w:szCs w:val="28"/>
        </w:rPr>
        <w:t xml:space="preserve">Although the above-described obstacles may prevent a complete wash of the income, since the taxpayer is </w:t>
      </w:r>
      <w:r w:rsidR="00840361" w:rsidRPr="00E62317">
        <w:rPr>
          <w:w w:val="103"/>
          <w:sz w:val="28"/>
          <w:szCs w:val="28"/>
          <w:u w:val="single"/>
        </w:rPr>
        <w:t>required</w:t>
      </w:r>
      <w:r w:rsidR="00840361">
        <w:rPr>
          <w:w w:val="103"/>
          <w:sz w:val="28"/>
          <w:szCs w:val="28"/>
        </w:rPr>
        <w:t xml:space="preserve"> to receive the RMD in any event, he or she may as well attempt to receive some income tax relief through charitable giving.</w:t>
      </w:r>
    </w:p>
    <w:p w:rsidR="00840361" w:rsidRDefault="003B127A" w:rsidP="004A57EC">
      <w:pPr>
        <w:pStyle w:val="Work2"/>
        <w:numPr>
          <w:ilvl w:val="0"/>
          <w:numId w:val="0"/>
        </w:numPr>
        <w:spacing w:line="480" w:lineRule="auto"/>
        <w:ind w:firstLine="1440"/>
        <w:jc w:val="both"/>
        <w:rPr>
          <w:w w:val="103"/>
          <w:sz w:val="28"/>
          <w:szCs w:val="28"/>
        </w:rPr>
      </w:pPr>
      <w:r>
        <w:rPr>
          <w:w w:val="103"/>
          <w:sz w:val="28"/>
          <w:szCs w:val="28"/>
        </w:rPr>
        <w:t>C.</w:t>
      </w:r>
      <w:r>
        <w:rPr>
          <w:w w:val="103"/>
          <w:sz w:val="28"/>
          <w:szCs w:val="28"/>
        </w:rPr>
        <w:tab/>
      </w:r>
      <w:r w:rsidR="00840361">
        <w:rPr>
          <w:w w:val="103"/>
          <w:sz w:val="28"/>
          <w:szCs w:val="28"/>
        </w:rPr>
        <w:t>There are Potential Charitable Gifts of Unique Retirement Plan Benefits That Can Be Beneficial During Life</w:t>
      </w:r>
    </w:p>
    <w:p w:rsidR="00840361" w:rsidRDefault="003B127A" w:rsidP="00E35818">
      <w:pPr>
        <w:pStyle w:val="Work3"/>
        <w:numPr>
          <w:ilvl w:val="0"/>
          <w:numId w:val="0"/>
        </w:numPr>
        <w:spacing w:line="480" w:lineRule="auto"/>
        <w:ind w:firstLine="2160"/>
        <w:jc w:val="both"/>
        <w:rPr>
          <w:w w:val="103"/>
          <w:sz w:val="28"/>
          <w:szCs w:val="28"/>
        </w:rPr>
      </w:pPr>
      <w:r>
        <w:rPr>
          <w:w w:val="103"/>
          <w:sz w:val="28"/>
          <w:szCs w:val="28"/>
        </w:rPr>
        <w:t>1.</w:t>
      </w:r>
      <w:r>
        <w:rPr>
          <w:w w:val="103"/>
          <w:sz w:val="28"/>
          <w:szCs w:val="28"/>
        </w:rPr>
        <w:tab/>
      </w:r>
      <w:r w:rsidR="00840361">
        <w:rPr>
          <w:w w:val="103"/>
          <w:sz w:val="28"/>
          <w:szCs w:val="28"/>
        </w:rPr>
        <w:t xml:space="preserve">An individual under age 59½ may avoid the ten percent (10%) premature withdrawal penalty through implementing a “series of </w:t>
      </w:r>
      <w:r w:rsidR="00840361">
        <w:rPr>
          <w:w w:val="103"/>
          <w:sz w:val="28"/>
          <w:szCs w:val="28"/>
        </w:rPr>
        <w:lastRenderedPageBreak/>
        <w:t>substantially equal periodic payments” from a retirement plan, and such taxpayer could use those payments to make offsetting charitable gifts.</w:t>
      </w:r>
    </w:p>
    <w:p w:rsidR="00840361" w:rsidRDefault="003B127A" w:rsidP="00E35818">
      <w:pPr>
        <w:pStyle w:val="Work3"/>
        <w:numPr>
          <w:ilvl w:val="0"/>
          <w:numId w:val="0"/>
        </w:numPr>
        <w:spacing w:line="480" w:lineRule="auto"/>
        <w:ind w:firstLine="2160"/>
        <w:jc w:val="both"/>
        <w:rPr>
          <w:w w:val="103"/>
          <w:sz w:val="28"/>
          <w:szCs w:val="28"/>
        </w:rPr>
      </w:pPr>
      <w:r>
        <w:rPr>
          <w:w w:val="103"/>
          <w:sz w:val="28"/>
          <w:szCs w:val="28"/>
        </w:rPr>
        <w:t>2.</w:t>
      </w:r>
      <w:r>
        <w:rPr>
          <w:w w:val="103"/>
          <w:sz w:val="28"/>
          <w:szCs w:val="28"/>
        </w:rPr>
        <w:tab/>
      </w:r>
      <w:r w:rsidR="00840361">
        <w:rPr>
          <w:w w:val="103"/>
          <w:sz w:val="28"/>
          <w:szCs w:val="28"/>
        </w:rPr>
        <w:t>In certain limited circumstances, wherein a distribution is made from a qualified plan of employer stock which includes “net unrealized appreciation”, the taxpayer is not immediately taxed on such net unrealized appreciation at the time of the plan distribution.  Instead, taxation of this unrealized appreciation is deferred, and may be completely avoided through certain future charitable gifts.</w:t>
      </w:r>
    </w:p>
    <w:p w:rsidR="00840361" w:rsidRDefault="003B127A" w:rsidP="00E35818">
      <w:pPr>
        <w:pStyle w:val="Work3"/>
        <w:numPr>
          <w:ilvl w:val="0"/>
          <w:numId w:val="0"/>
        </w:numPr>
        <w:spacing w:line="480" w:lineRule="auto"/>
        <w:ind w:firstLine="2160"/>
        <w:jc w:val="both"/>
        <w:rPr>
          <w:w w:val="103"/>
          <w:sz w:val="28"/>
          <w:szCs w:val="28"/>
        </w:rPr>
      </w:pPr>
      <w:r>
        <w:rPr>
          <w:w w:val="103"/>
          <w:sz w:val="28"/>
          <w:szCs w:val="28"/>
        </w:rPr>
        <w:t>3.</w:t>
      </w:r>
      <w:r>
        <w:rPr>
          <w:w w:val="103"/>
          <w:sz w:val="28"/>
          <w:szCs w:val="28"/>
        </w:rPr>
        <w:tab/>
      </w:r>
      <w:r w:rsidR="00840361">
        <w:rPr>
          <w:w w:val="103"/>
          <w:sz w:val="28"/>
          <w:szCs w:val="28"/>
        </w:rPr>
        <w:t>A lump sum distribution from a qualified plan to a participant who is born before January 2, 1936 (or to the beneficiaries of such a participant) may exclude the distribution from the recipient’s gross income and is taxed under a different rate schedule.  In some circumstances, the distributee may give the distributed amount to charity, and effectively deduct the gift from his or her other income, since the lump sum distribution is taxed at a much lower rate.</w:t>
      </w:r>
    </w:p>
    <w:p w:rsidR="00840361" w:rsidRPr="00B31B09" w:rsidRDefault="00B23AF2" w:rsidP="00E35818">
      <w:pPr>
        <w:pStyle w:val="Work3"/>
        <w:numPr>
          <w:ilvl w:val="0"/>
          <w:numId w:val="0"/>
        </w:numPr>
        <w:spacing w:line="480" w:lineRule="auto"/>
        <w:ind w:firstLine="2160"/>
        <w:jc w:val="both"/>
        <w:rPr>
          <w:w w:val="103"/>
          <w:sz w:val="28"/>
          <w:szCs w:val="28"/>
        </w:rPr>
      </w:pPr>
      <w:r>
        <w:rPr>
          <w:w w:val="103"/>
          <w:sz w:val="28"/>
          <w:szCs w:val="28"/>
        </w:rPr>
        <w:t>4.</w:t>
      </w:r>
      <w:r>
        <w:rPr>
          <w:w w:val="103"/>
          <w:sz w:val="28"/>
          <w:szCs w:val="28"/>
        </w:rPr>
        <w:tab/>
      </w:r>
      <w:r w:rsidR="00840361">
        <w:rPr>
          <w:w w:val="103"/>
          <w:sz w:val="28"/>
          <w:szCs w:val="28"/>
        </w:rPr>
        <w:t>“Qualified replacement property” received by a business owner who has sold his or her stock to an ESOP, wherein the owner did not have to pay income tax on the sale, may be gifted to charity to avoid permanently some or all of the tax on such sale.</w:t>
      </w:r>
    </w:p>
    <w:p w:rsidR="00840361" w:rsidRPr="00631398" w:rsidRDefault="00B23AF2" w:rsidP="004A57EC">
      <w:pPr>
        <w:pStyle w:val="Work2"/>
        <w:numPr>
          <w:ilvl w:val="0"/>
          <w:numId w:val="0"/>
        </w:numPr>
        <w:ind w:firstLine="1440"/>
        <w:jc w:val="both"/>
        <w:rPr>
          <w:w w:val="103"/>
          <w:sz w:val="28"/>
          <w:szCs w:val="28"/>
        </w:rPr>
      </w:pPr>
      <w:r>
        <w:rPr>
          <w:w w:val="103"/>
          <w:sz w:val="28"/>
          <w:szCs w:val="28"/>
        </w:rPr>
        <w:t>D.</w:t>
      </w:r>
      <w:r>
        <w:rPr>
          <w:w w:val="103"/>
          <w:sz w:val="28"/>
          <w:szCs w:val="28"/>
        </w:rPr>
        <w:tab/>
      </w:r>
      <w:r w:rsidR="00840361">
        <w:rPr>
          <w:w w:val="103"/>
          <w:sz w:val="28"/>
          <w:szCs w:val="28"/>
        </w:rPr>
        <w:t>IRA Charitable Rollover</w:t>
      </w:r>
    </w:p>
    <w:p w:rsidR="00840361" w:rsidRPr="007D681A" w:rsidRDefault="00B23AF2" w:rsidP="00E35818">
      <w:pPr>
        <w:pStyle w:val="Work3"/>
        <w:numPr>
          <w:ilvl w:val="0"/>
          <w:numId w:val="0"/>
        </w:numPr>
        <w:spacing w:line="480" w:lineRule="auto"/>
        <w:ind w:firstLine="2160"/>
        <w:jc w:val="both"/>
        <w:rPr>
          <w:w w:val="103"/>
          <w:sz w:val="28"/>
          <w:szCs w:val="28"/>
        </w:rPr>
      </w:pPr>
      <w:r>
        <w:rPr>
          <w:w w:val="103"/>
          <w:sz w:val="28"/>
          <w:szCs w:val="28"/>
        </w:rPr>
        <w:lastRenderedPageBreak/>
        <w:t>1.</w:t>
      </w:r>
      <w:r>
        <w:rPr>
          <w:w w:val="103"/>
          <w:sz w:val="28"/>
          <w:szCs w:val="28"/>
        </w:rPr>
        <w:tab/>
      </w:r>
      <w:r w:rsidR="00840361">
        <w:rPr>
          <w:w w:val="103"/>
          <w:sz w:val="28"/>
          <w:szCs w:val="28"/>
        </w:rPr>
        <w:t xml:space="preserve">Congress has had an on-again/off-again love affair with </w:t>
      </w:r>
      <w:r w:rsidR="00840361" w:rsidRPr="007D681A">
        <w:rPr>
          <w:w w:val="103"/>
          <w:sz w:val="28"/>
          <w:szCs w:val="28"/>
        </w:rPr>
        <w:t xml:space="preserve">the </w:t>
      </w:r>
      <w:r w:rsidR="00840361">
        <w:rPr>
          <w:w w:val="103"/>
          <w:sz w:val="28"/>
          <w:szCs w:val="28"/>
        </w:rPr>
        <w:t>IRA C</w:t>
      </w:r>
      <w:r w:rsidR="00840361" w:rsidRPr="007D681A">
        <w:rPr>
          <w:w w:val="103"/>
          <w:sz w:val="28"/>
          <w:szCs w:val="28"/>
        </w:rPr>
        <w:t xml:space="preserve">haritable </w:t>
      </w:r>
      <w:r w:rsidR="00840361">
        <w:rPr>
          <w:w w:val="103"/>
          <w:sz w:val="28"/>
          <w:szCs w:val="28"/>
        </w:rPr>
        <w:t>R</w:t>
      </w:r>
      <w:r w:rsidR="00840361" w:rsidRPr="007D681A">
        <w:rPr>
          <w:w w:val="103"/>
          <w:sz w:val="28"/>
          <w:szCs w:val="28"/>
        </w:rPr>
        <w:t>ollover</w:t>
      </w:r>
      <w:r w:rsidR="00840361">
        <w:rPr>
          <w:w w:val="103"/>
          <w:sz w:val="28"/>
          <w:szCs w:val="28"/>
        </w:rPr>
        <w:t>.</w:t>
      </w:r>
    </w:p>
    <w:p w:rsidR="00840361" w:rsidRDefault="00B23AF2" w:rsidP="004A57EC">
      <w:pPr>
        <w:pStyle w:val="Work4"/>
        <w:numPr>
          <w:ilvl w:val="0"/>
          <w:numId w:val="0"/>
        </w:numPr>
        <w:spacing w:line="480" w:lineRule="auto"/>
        <w:ind w:firstLine="2880"/>
        <w:jc w:val="both"/>
        <w:rPr>
          <w:sz w:val="28"/>
          <w:szCs w:val="28"/>
        </w:rPr>
      </w:pPr>
      <w:r>
        <w:rPr>
          <w:sz w:val="28"/>
          <w:szCs w:val="28"/>
        </w:rPr>
        <w:t>a.</w:t>
      </w:r>
      <w:r>
        <w:rPr>
          <w:sz w:val="28"/>
          <w:szCs w:val="28"/>
        </w:rPr>
        <w:tab/>
      </w:r>
      <w:r w:rsidR="00840361">
        <w:rPr>
          <w:sz w:val="28"/>
          <w:szCs w:val="28"/>
        </w:rPr>
        <w:t>The 2006 Pension Protection Act first established the “IRA Charitable Rollover” concept.  After being allowed to expire in 2008, this provision was renewed temporarily two more times, and expired again on January 1, 2014.</w:t>
      </w:r>
    </w:p>
    <w:p w:rsidR="00840361" w:rsidRDefault="00B23AF2" w:rsidP="004A57EC">
      <w:pPr>
        <w:pStyle w:val="Work4"/>
        <w:numPr>
          <w:ilvl w:val="0"/>
          <w:numId w:val="0"/>
        </w:numPr>
        <w:spacing w:line="480" w:lineRule="auto"/>
        <w:ind w:firstLine="2880"/>
        <w:jc w:val="both"/>
        <w:rPr>
          <w:sz w:val="28"/>
          <w:szCs w:val="28"/>
        </w:rPr>
      </w:pPr>
      <w:r>
        <w:rPr>
          <w:sz w:val="28"/>
          <w:szCs w:val="28"/>
        </w:rPr>
        <w:t>b.</w:t>
      </w:r>
      <w:r>
        <w:rPr>
          <w:sz w:val="28"/>
          <w:szCs w:val="28"/>
        </w:rPr>
        <w:tab/>
      </w:r>
      <w:r w:rsidR="00840361" w:rsidRPr="002E3429">
        <w:rPr>
          <w:sz w:val="28"/>
          <w:szCs w:val="28"/>
        </w:rPr>
        <w:t xml:space="preserve">The </w:t>
      </w:r>
      <w:r w:rsidR="00840361">
        <w:rPr>
          <w:sz w:val="28"/>
          <w:szCs w:val="28"/>
        </w:rPr>
        <w:t xml:space="preserve">“Public Good IRA Rollover Act” was introduced in the Senate on November 21, 2013, which sought to renew and make permanent the IRA Charitable Rollover.  Comparable legislation was introduced in the House in early 2014, and passed on July 17, 2014.  Finally, on December 16, 2014, the Senate signed off on several “extenders,” including this provision, which was signed into law by the President on December 19, 2014.  Unfortunately, the IRA Charitable Rollover provision expired </w:t>
      </w:r>
      <w:r w:rsidR="00840361" w:rsidRPr="00E64E28">
        <w:rPr>
          <w:sz w:val="28"/>
          <w:szCs w:val="28"/>
          <w:u w:val="single"/>
        </w:rPr>
        <w:t>again</w:t>
      </w:r>
      <w:r w:rsidR="00840361">
        <w:rPr>
          <w:sz w:val="28"/>
          <w:szCs w:val="28"/>
        </w:rPr>
        <w:t xml:space="preserve"> as of January 1, 2015! </w:t>
      </w:r>
    </w:p>
    <w:p w:rsidR="00840361" w:rsidRPr="002E3429" w:rsidRDefault="00B23AF2" w:rsidP="004A57EC">
      <w:pPr>
        <w:pStyle w:val="Work4"/>
        <w:numPr>
          <w:ilvl w:val="0"/>
          <w:numId w:val="0"/>
        </w:numPr>
        <w:spacing w:line="480" w:lineRule="auto"/>
        <w:ind w:firstLine="2880"/>
        <w:jc w:val="both"/>
        <w:rPr>
          <w:sz w:val="28"/>
          <w:szCs w:val="28"/>
        </w:rPr>
      </w:pPr>
      <w:r>
        <w:rPr>
          <w:sz w:val="28"/>
          <w:szCs w:val="28"/>
        </w:rPr>
        <w:t>c.</w:t>
      </w:r>
      <w:r>
        <w:rPr>
          <w:sz w:val="28"/>
          <w:szCs w:val="28"/>
        </w:rPr>
        <w:tab/>
      </w:r>
      <w:r w:rsidR="00873167">
        <w:rPr>
          <w:sz w:val="28"/>
          <w:szCs w:val="28"/>
        </w:rPr>
        <w:t xml:space="preserve">After months of watching </w:t>
      </w:r>
      <w:r w:rsidR="00840361">
        <w:rPr>
          <w:sz w:val="28"/>
          <w:szCs w:val="28"/>
        </w:rPr>
        <w:t>two separate bills which propose</w:t>
      </w:r>
      <w:r w:rsidR="00873167">
        <w:rPr>
          <w:sz w:val="28"/>
          <w:szCs w:val="28"/>
        </w:rPr>
        <w:t>d</w:t>
      </w:r>
      <w:r w:rsidR="00840361">
        <w:rPr>
          <w:sz w:val="28"/>
          <w:szCs w:val="28"/>
        </w:rPr>
        <w:t xml:space="preserve"> to enact the IRA Charitable Rollover on a permanent basis</w:t>
      </w:r>
      <w:r w:rsidR="00873167">
        <w:rPr>
          <w:sz w:val="28"/>
          <w:szCs w:val="28"/>
        </w:rPr>
        <w:t xml:space="preserve"> sit idle</w:t>
      </w:r>
      <w:r w:rsidR="008B3C79">
        <w:rPr>
          <w:sz w:val="28"/>
          <w:szCs w:val="28"/>
        </w:rPr>
        <w:t xml:space="preserve"> in the House of Representatives,</w:t>
      </w:r>
      <w:r w:rsidR="00873167">
        <w:rPr>
          <w:sz w:val="28"/>
          <w:szCs w:val="28"/>
        </w:rPr>
        <w:t xml:space="preserve"> action finally came in December, 2015.  President Obama signed the “Protecting Americans from Tax Hikes Act” into law on December 18, 2015.  Among other things, this Act </w:t>
      </w:r>
      <w:r w:rsidR="008B3C79">
        <w:rPr>
          <w:sz w:val="28"/>
          <w:szCs w:val="28"/>
        </w:rPr>
        <w:t xml:space="preserve">finally </w:t>
      </w:r>
      <w:r w:rsidR="00873167">
        <w:rPr>
          <w:sz w:val="28"/>
          <w:szCs w:val="28"/>
        </w:rPr>
        <w:t>make</w:t>
      </w:r>
      <w:r w:rsidR="006A325B">
        <w:rPr>
          <w:sz w:val="28"/>
          <w:szCs w:val="28"/>
        </w:rPr>
        <w:t>s</w:t>
      </w:r>
      <w:r w:rsidR="00873167">
        <w:rPr>
          <w:sz w:val="28"/>
          <w:szCs w:val="28"/>
        </w:rPr>
        <w:t xml:space="preserve"> the IRA Charitable Rollover permanent.  </w:t>
      </w:r>
    </w:p>
    <w:p w:rsidR="00840361" w:rsidRPr="002E3429" w:rsidRDefault="00B23AF2" w:rsidP="00E35818">
      <w:pPr>
        <w:pStyle w:val="Work3"/>
        <w:numPr>
          <w:ilvl w:val="0"/>
          <w:numId w:val="0"/>
        </w:numPr>
        <w:spacing w:line="480" w:lineRule="auto"/>
        <w:ind w:firstLine="2160"/>
        <w:jc w:val="both"/>
        <w:rPr>
          <w:sz w:val="28"/>
          <w:szCs w:val="28"/>
        </w:rPr>
      </w:pPr>
      <w:r>
        <w:rPr>
          <w:sz w:val="28"/>
          <w:szCs w:val="28"/>
        </w:rPr>
        <w:lastRenderedPageBreak/>
        <w:t>2.</w:t>
      </w:r>
      <w:r>
        <w:rPr>
          <w:sz w:val="28"/>
          <w:szCs w:val="28"/>
        </w:rPr>
        <w:tab/>
      </w:r>
      <w:r w:rsidR="00840361" w:rsidRPr="002E3429">
        <w:rPr>
          <w:sz w:val="28"/>
          <w:szCs w:val="28"/>
        </w:rPr>
        <w:t>What constitutes an “</w:t>
      </w:r>
      <w:r w:rsidR="00840361">
        <w:rPr>
          <w:sz w:val="28"/>
          <w:szCs w:val="28"/>
        </w:rPr>
        <w:t>I</w:t>
      </w:r>
      <w:r w:rsidR="00840361" w:rsidRPr="002E3429">
        <w:rPr>
          <w:sz w:val="28"/>
          <w:szCs w:val="28"/>
        </w:rPr>
        <w:t>RA Charitable Rollover”?</w:t>
      </w:r>
    </w:p>
    <w:p w:rsidR="00840361" w:rsidRPr="002E3429" w:rsidRDefault="004F0EE4" w:rsidP="00814046">
      <w:pPr>
        <w:pStyle w:val="Work4"/>
        <w:numPr>
          <w:ilvl w:val="0"/>
          <w:numId w:val="0"/>
        </w:numPr>
        <w:spacing w:line="480" w:lineRule="auto"/>
        <w:ind w:firstLine="2880"/>
        <w:jc w:val="both"/>
        <w:rPr>
          <w:sz w:val="28"/>
          <w:szCs w:val="28"/>
        </w:rPr>
      </w:pPr>
      <w:r>
        <w:rPr>
          <w:sz w:val="28"/>
          <w:szCs w:val="28"/>
        </w:rPr>
        <w:t>a.</w:t>
      </w:r>
      <w:r>
        <w:rPr>
          <w:sz w:val="28"/>
          <w:szCs w:val="28"/>
        </w:rPr>
        <w:tab/>
      </w:r>
      <w:r w:rsidR="00840361" w:rsidRPr="002E3429">
        <w:rPr>
          <w:sz w:val="28"/>
          <w:szCs w:val="28"/>
        </w:rPr>
        <w:t>A “Qualified Charitable Distribution” is an otherwise taxable distribution from an IRA (not including an ongoing SEP or SIMPLE IRA) owned by an individual who is at least age 70½, and that is paid directly from the IRA to “eligible charitable organizations.”</w:t>
      </w:r>
    </w:p>
    <w:p w:rsidR="00840361" w:rsidRPr="002E3429" w:rsidRDefault="004F0EE4" w:rsidP="00814046">
      <w:pPr>
        <w:pStyle w:val="Work4"/>
        <w:numPr>
          <w:ilvl w:val="0"/>
          <w:numId w:val="0"/>
        </w:numPr>
        <w:spacing w:line="480" w:lineRule="auto"/>
        <w:ind w:firstLine="2880"/>
        <w:jc w:val="both"/>
        <w:rPr>
          <w:sz w:val="28"/>
          <w:szCs w:val="28"/>
        </w:rPr>
      </w:pPr>
      <w:r>
        <w:rPr>
          <w:sz w:val="28"/>
          <w:szCs w:val="28"/>
        </w:rPr>
        <w:t>b.</w:t>
      </w:r>
      <w:r>
        <w:rPr>
          <w:sz w:val="28"/>
          <w:szCs w:val="28"/>
        </w:rPr>
        <w:tab/>
      </w:r>
      <w:r w:rsidR="00840361" w:rsidRPr="002E3429">
        <w:rPr>
          <w:sz w:val="28"/>
          <w:szCs w:val="28"/>
        </w:rPr>
        <w:t xml:space="preserve">A taxpayer can exclude from gross income up to </w:t>
      </w:r>
      <w:r w:rsidR="00840361">
        <w:rPr>
          <w:sz w:val="28"/>
          <w:szCs w:val="28"/>
        </w:rPr>
        <w:t>One Hundred Thousand Dollars (</w:t>
      </w:r>
      <w:r w:rsidR="00840361" w:rsidRPr="002E3429">
        <w:rPr>
          <w:sz w:val="28"/>
          <w:szCs w:val="28"/>
        </w:rPr>
        <w:t>$100,000</w:t>
      </w:r>
      <w:r w:rsidR="00840361">
        <w:rPr>
          <w:sz w:val="28"/>
          <w:szCs w:val="28"/>
        </w:rPr>
        <w:t>)</w:t>
      </w:r>
      <w:r w:rsidR="00840361" w:rsidRPr="002E3429">
        <w:rPr>
          <w:sz w:val="28"/>
          <w:szCs w:val="28"/>
        </w:rPr>
        <w:t xml:space="preserve"> of a Qualified Charitable Distribution made for a given year.</w:t>
      </w:r>
    </w:p>
    <w:p w:rsidR="00840361" w:rsidRPr="002E3429" w:rsidRDefault="004F0EE4" w:rsidP="00814046">
      <w:pPr>
        <w:pStyle w:val="Work5"/>
        <w:numPr>
          <w:ilvl w:val="0"/>
          <w:numId w:val="0"/>
        </w:numPr>
        <w:spacing w:line="480" w:lineRule="auto"/>
        <w:ind w:firstLine="3600"/>
        <w:jc w:val="both"/>
        <w:rPr>
          <w:sz w:val="28"/>
          <w:szCs w:val="28"/>
        </w:rPr>
      </w:pPr>
      <w:r>
        <w:rPr>
          <w:sz w:val="28"/>
          <w:szCs w:val="28"/>
        </w:rPr>
        <w:t>(1)</w:t>
      </w:r>
      <w:r>
        <w:rPr>
          <w:sz w:val="28"/>
          <w:szCs w:val="28"/>
        </w:rPr>
        <w:tab/>
      </w:r>
      <w:r w:rsidR="00840361" w:rsidRPr="002E3429">
        <w:rPr>
          <w:sz w:val="28"/>
          <w:szCs w:val="28"/>
        </w:rPr>
        <w:t>The Qualified Charitable Distribution can be used to satisfy any required minimum distributions from the IRA for that year.</w:t>
      </w:r>
    </w:p>
    <w:p w:rsidR="00840361" w:rsidRPr="002E3429" w:rsidRDefault="004F0EE4" w:rsidP="00814046">
      <w:pPr>
        <w:pStyle w:val="Work5"/>
        <w:numPr>
          <w:ilvl w:val="0"/>
          <w:numId w:val="0"/>
        </w:numPr>
        <w:spacing w:line="480" w:lineRule="auto"/>
        <w:ind w:firstLine="3600"/>
        <w:jc w:val="both"/>
        <w:rPr>
          <w:sz w:val="28"/>
          <w:szCs w:val="28"/>
        </w:rPr>
      </w:pPr>
      <w:r>
        <w:rPr>
          <w:sz w:val="28"/>
          <w:szCs w:val="28"/>
        </w:rPr>
        <w:t>(2)</w:t>
      </w:r>
      <w:r>
        <w:rPr>
          <w:sz w:val="28"/>
          <w:szCs w:val="28"/>
        </w:rPr>
        <w:tab/>
      </w:r>
      <w:r w:rsidR="00840361" w:rsidRPr="002E3429">
        <w:rPr>
          <w:sz w:val="28"/>
          <w:szCs w:val="28"/>
        </w:rPr>
        <w:t>Likewise, the amount of the Qualified Charitable Distribution excluded from gross income is not shown as an itemized deduction for a charitable contribution.</w:t>
      </w:r>
    </w:p>
    <w:p w:rsidR="00840361" w:rsidRPr="002E3429" w:rsidRDefault="004F0EE4" w:rsidP="00814046">
      <w:pPr>
        <w:pStyle w:val="Work4"/>
        <w:numPr>
          <w:ilvl w:val="0"/>
          <w:numId w:val="0"/>
        </w:numPr>
        <w:spacing w:line="480" w:lineRule="auto"/>
        <w:ind w:firstLine="2880"/>
        <w:jc w:val="both"/>
        <w:rPr>
          <w:sz w:val="28"/>
          <w:szCs w:val="28"/>
        </w:rPr>
      </w:pPr>
      <w:r>
        <w:rPr>
          <w:sz w:val="28"/>
          <w:szCs w:val="28"/>
        </w:rPr>
        <w:t>c.</w:t>
      </w:r>
      <w:r>
        <w:rPr>
          <w:sz w:val="28"/>
          <w:szCs w:val="28"/>
        </w:rPr>
        <w:tab/>
      </w:r>
      <w:r w:rsidR="00840361" w:rsidRPr="002E3429">
        <w:rPr>
          <w:sz w:val="28"/>
          <w:szCs w:val="28"/>
        </w:rPr>
        <w:t xml:space="preserve">An eligible charitable organization for these purposes includes a public charity, </w:t>
      </w:r>
      <w:r w:rsidR="00840361" w:rsidRPr="002E3429">
        <w:rPr>
          <w:sz w:val="28"/>
          <w:szCs w:val="28"/>
          <w:u w:val="single"/>
        </w:rPr>
        <w:t>other than</w:t>
      </w:r>
      <w:r w:rsidR="00840361" w:rsidRPr="002E3429">
        <w:rPr>
          <w:sz w:val="28"/>
          <w:szCs w:val="28"/>
        </w:rPr>
        <w:t xml:space="preserve"> a donor advised fund or supporting organizations.  Individuals can make a Qualified Charitable Distribution to a private operating foundation or to a private foundation that elects to meet certain conduit rules in the year of the distribution.</w:t>
      </w:r>
    </w:p>
    <w:p w:rsidR="00840361" w:rsidRPr="002E3429" w:rsidRDefault="004F0EE4" w:rsidP="00814046">
      <w:pPr>
        <w:pStyle w:val="Work4"/>
        <w:numPr>
          <w:ilvl w:val="0"/>
          <w:numId w:val="0"/>
        </w:numPr>
        <w:spacing w:line="480" w:lineRule="auto"/>
        <w:ind w:firstLine="2880"/>
        <w:jc w:val="both"/>
        <w:rPr>
          <w:sz w:val="28"/>
          <w:szCs w:val="28"/>
        </w:rPr>
      </w:pPr>
      <w:r>
        <w:rPr>
          <w:sz w:val="28"/>
          <w:szCs w:val="28"/>
        </w:rPr>
        <w:lastRenderedPageBreak/>
        <w:t>d.</w:t>
      </w:r>
      <w:r>
        <w:rPr>
          <w:sz w:val="28"/>
          <w:szCs w:val="28"/>
        </w:rPr>
        <w:tab/>
      </w:r>
      <w:r w:rsidR="00840361" w:rsidRPr="002E3429">
        <w:rPr>
          <w:sz w:val="28"/>
          <w:szCs w:val="28"/>
        </w:rPr>
        <w:t>The donor must instruct their IRA administrator to make the contribution directly to the eligible charity.</w:t>
      </w:r>
    </w:p>
    <w:p w:rsidR="00840361" w:rsidRPr="00E64E28" w:rsidRDefault="004F0EE4" w:rsidP="00E35818">
      <w:pPr>
        <w:pStyle w:val="Work3"/>
        <w:numPr>
          <w:ilvl w:val="0"/>
          <w:numId w:val="0"/>
        </w:numPr>
        <w:spacing w:line="480" w:lineRule="auto"/>
        <w:ind w:firstLine="2160"/>
        <w:jc w:val="both"/>
        <w:rPr>
          <w:sz w:val="28"/>
          <w:szCs w:val="28"/>
        </w:rPr>
      </w:pPr>
      <w:r>
        <w:rPr>
          <w:sz w:val="28"/>
          <w:szCs w:val="28"/>
        </w:rPr>
        <w:t>3.</w:t>
      </w:r>
      <w:r>
        <w:rPr>
          <w:sz w:val="28"/>
          <w:szCs w:val="28"/>
        </w:rPr>
        <w:tab/>
      </w:r>
      <w:r w:rsidR="00840361" w:rsidRPr="00E64E28">
        <w:rPr>
          <w:sz w:val="28"/>
          <w:szCs w:val="28"/>
        </w:rPr>
        <w:t xml:space="preserve">Who really benefits from this continued </w:t>
      </w:r>
      <w:r w:rsidR="00840361">
        <w:rPr>
          <w:sz w:val="28"/>
          <w:szCs w:val="28"/>
        </w:rPr>
        <w:t xml:space="preserve">IRA </w:t>
      </w:r>
      <w:r w:rsidR="00840361" w:rsidRPr="00E64E28">
        <w:rPr>
          <w:sz w:val="28"/>
          <w:szCs w:val="28"/>
        </w:rPr>
        <w:t>Charitable Rollover technique?</w:t>
      </w:r>
    </w:p>
    <w:p w:rsidR="00840361" w:rsidRPr="00E64E28" w:rsidRDefault="004F0EE4" w:rsidP="00814046">
      <w:pPr>
        <w:pStyle w:val="Work4"/>
        <w:numPr>
          <w:ilvl w:val="0"/>
          <w:numId w:val="0"/>
        </w:numPr>
        <w:spacing w:line="480" w:lineRule="auto"/>
        <w:ind w:firstLine="2880"/>
        <w:jc w:val="both"/>
        <w:rPr>
          <w:sz w:val="28"/>
          <w:szCs w:val="28"/>
        </w:rPr>
      </w:pPr>
      <w:r>
        <w:rPr>
          <w:sz w:val="28"/>
          <w:szCs w:val="28"/>
        </w:rPr>
        <w:t>a.</w:t>
      </w:r>
      <w:r>
        <w:rPr>
          <w:sz w:val="28"/>
          <w:szCs w:val="28"/>
        </w:rPr>
        <w:tab/>
      </w:r>
      <w:r w:rsidR="00840361" w:rsidRPr="00E64E28">
        <w:rPr>
          <w:sz w:val="28"/>
          <w:szCs w:val="28"/>
        </w:rPr>
        <w:t>A high income donor who itemizes deductions and whose charitable contribution deductions are reduced by the percentage of income limitation (otherwise, such individuals who receive a distribution from their IRA and make a corresponding charitable contribution, must count the entire distribution as income and receive a charitable deduction for a lesser amount).</w:t>
      </w:r>
    </w:p>
    <w:p w:rsidR="00840361" w:rsidRPr="00E64E28" w:rsidRDefault="00726D51" w:rsidP="00814046">
      <w:pPr>
        <w:pStyle w:val="Work4"/>
        <w:numPr>
          <w:ilvl w:val="0"/>
          <w:numId w:val="0"/>
        </w:numPr>
        <w:spacing w:line="480" w:lineRule="auto"/>
        <w:ind w:firstLine="2880"/>
        <w:jc w:val="both"/>
        <w:rPr>
          <w:sz w:val="28"/>
          <w:szCs w:val="28"/>
        </w:rPr>
      </w:pPr>
      <w:r>
        <w:rPr>
          <w:sz w:val="28"/>
          <w:szCs w:val="28"/>
        </w:rPr>
        <w:t>b.</w:t>
      </w:r>
      <w:r>
        <w:rPr>
          <w:sz w:val="28"/>
          <w:szCs w:val="28"/>
        </w:rPr>
        <w:tab/>
      </w:r>
      <w:r w:rsidR="00840361" w:rsidRPr="00E64E28">
        <w:rPr>
          <w:sz w:val="28"/>
          <w:szCs w:val="28"/>
        </w:rPr>
        <w:t>Individuals who do not itemize their deductions.</w:t>
      </w:r>
    </w:p>
    <w:p w:rsidR="00840361" w:rsidRPr="00E64E28" w:rsidRDefault="00726D51" w:rsidP="00814046">
      <w:pPr>
        <w:pStyle w:val="Work4"/>
        <w:numPr>
          <w:ilvl w:val="0"/>
          <w:numId w:val="0"/>
        </w:numPr>
        <w:spacing w:line="480" w:lineRule="auto"/>
        <w:ind w:firstLine="2880"/>
        <w:jc w:val="both"/>
        <w:rPr>
          <w:sz w:val="28"/>
          <w:szCs w:val="28"/>
        </w:rPr>
      </w:pPr>
      <w:r>
        <w:rPr>
          <w:sz w:val="28"/>
          <w:szCs w:val="28"/>
        </w:rPr>
        <w:t>c.</w:t>
      </w:r>
      <w:r>
        <w:rPr>
          <w:sz w:val="28"/>
          <w:szCs w:val="28"/>
        </w:rPr>
        <w:tab/>
      </w:r>
      <w:r w:rsidR="00840361" w:rsidRPr="00E64E28">
        <w:rPr>
          <w:sz w:val="28"/>
          <w:szCs w:val="28"/>
        </w:rPr>
        <w:t>Individuals in certain states where the operation of the state income tax law would offer greater benefits as a result of a charitable rollover.</w:t>
      </w:r>
    </w:p>
    <w:p w:rsidR="00840361" w:rsidRPr="00E64E28" w:rsidRDefault="00726D51" w:rsidP="00814046">
      <w:pPr>
        <w:pStyle w:val="Work4"/>
        <w:numPr>
          <w:ilvl w:val="0"/>
          <w:numId w:val="0"/>
        </w:numPr>
        <w:spacing w:line="480" w:lineRule="auto"/>
        <w:ind w:firstLine="2880"/>
        <w:jc w:val="both"/>
        <w:rPr>
          <w:sz w:val="28"/>
          <w:szCs w:val="28"/>
        </w:rPr>
      </w:pPr>
      <w:r>
        <w:rPr>
          <w:sz w:val="28"/>
          <w:szCs w:val="28"/>
        </w:rPr>
        <w:t>d.</w:t>
      </w:r>
      <w:r>
        <w:rPr>
          <w:sz w:val="28"/>
          <w:szCs w:val="28"/>
        </w:rPr>
        <w:tab/>
      </w:r>
      <w:r w:rsidR="00840361" w:rsidRPr="00E64E28">
        <w:rPr>
          <w:sz w:val="28"/>
          <w:szCs w:val="28"/>
        </w:rPr>
        <w:t>Those rare individuals who already exceed their percentage of income limitation in terms of charitable contribution limits (i.e., more than 50% of their adjusted gross income for gifts of cash to public charities).</w:t>
      </w:r>
    </w:p>
    <w:p w:rsidR="00840361" w:rsidRPr="00CA0158" w:rsidRDefault="00726D51" w:rsidP="00814046">
      <w:pPr>
        <w:pStyle w:val="Work1"/>
        <w:numPr>
          <w:ilvl w:val="0"/>
          <w:numId w:val="0"/>
        </w:numPr>
        <w:spacing w:after="0" w:line="480" w:lineRule="auto"/>
        <w:ind w:firstLine="720"/>
        <w:jc w:val="both"/>
        <w:rPr>
          <w:rFonts w:cs="Times New Roman"/>
          <w:w w:val="103"/>
          <w:sz w:val="28"/>
          <w:szCs w:val="28"/>
        </w:rPr>
      </w:pPr>
      <w:r>
        <w:rPr>
          <w:rFonts w:cs="Times New Roman"/>
          <w:w w:val="103"/>
          <w:sz w:val="28"/>
          <w:szCs w:val="28"/>
        </w:rPr>
        <w:t>VIII.</w:t>
      </w:r>
      <w:r>
        <w:rPr>
          <w:rFonts w:cs="Times New Roman"/>
          <w:w w:val="103"/>
          <w:sz w:val="28"/>
          <w:szCs w:val="28"/>
        </w:rPr>
        <w:tab/>
      </w:r>
      <w:r w:rsidR="00840361">
        <w:rPr>
          <w:rFonts w:cs="Times New Roman"/>
          <w:w w:val="103"/>
          <w:sz w:val="28"/>
          <w:szCs w:val="28"/>
        </w:rPr>
        <w:t>IS THE BAND</w:t>
      </w:r>
      <w:r w:rsidR="00840361" w:rsidRPr="00CA0158">
        <w:rPr>
          <w:rFonts w:cs="Times New Roman"/>
          <w:w w:val="103"/>
          <w:sz w:val="28"/>
          <w:szCs w:val="28"/>
        </w:rPr>
        <w:t xml:space="preserve"> ABOUT TO BREAK ON THE STRETCH IRA?</w:t>
      </w:r>
    </w:p>
    <w:p w:rsidR="00840361" w:rsidRPr="00CA0158" w:rsidRDefault="00332880" w:rsidP="00814046">
      <w:pPr>
        <w:pStyle w:val="Work2"/>
        <w:numPr>
          <w:ilvl w:val="0"/>
          <w:numId w:val="0"/>
        </w:numPr>
        <w:spacing w:after="0" w:line="480" w:lineRule="auto"/>
        <w:ind w:firstLine="1440"/>
        <w:jc w:val="both"/>
        <w:rPr>
          <w:rFonts w:cs="Times New Roman"/>
          <w:sz w:val="28"/>
          <w:szCs w:val="28"/>
        </w:rPr>
      </w:pPr>
      <w:r>
        <w:rPr>
          <w:rFonts w:cs="Times New Roman"/>
          <w:sz w:val="28"/>
          <w:szCs w:val="28"/>
        </w:rPr>
        <w:t>A.</w:t>
      </w:r>
      <w:r>
        <w:rPr>
          <w:rFonts w:cs="Times New Roman"/>
          <w:sz w:val="28"/>
          <w:szCs w:val="28"/>
        </w:rPr>
        <w:tab/>
      </w:r>
      <w:r w:rsidR="00840361" w:rsidRPr="00CA0158">
        <w:rPr>
          <w:rFonts w:cs="Times New Roman"/>
          <w:sz w:val="28"/>
          <w:szCs w:val="28"/>
        </w:rPr>
        <w:t>Introduction</w:t>
      </w:r>
    </w:p>
    <w:p w:rsidR="00840361" w:rsidRPr="00CA0158" w:rsidRDefault="00840361" w:rsidP="00E35818">
      <w:pPr>
        <w:pStyle w:val="NoSpacing"/>
        <w:numPr>
          <w:ilvl w:val="0"/>
          <w:numId w:val="24"/>
        </w:numPr>
        <w:spacing w:line="480" w:lineRule="auto"/>
        <w:ind w:left="0" w:firstLine="2160"/>
        <w:jc w:val="both"/>
        <w:rPr>
          <w:rFonts w:cs="Times New Roman"/>
          <w:sz w:val="28"/>
          <w:szCs w:val="28"/>
        </w:rPr>
      </w:pPr>
      <w:r w:rsidRPr="00CA0158">
        <w:rPr>
          <w:rFonts w:cs="Times New Roman"/>
          <w:sz w:val="28"/>
          <w:szCs w:val="28"/>
        </w:rPr>
        <w:lastRenderedPageBreak/>
        <w:t xml:space="preserve">In January or early February of </w:t>
      </w:r>
      <w:r>
        <w:rPr>
          <w:rFonts w:cs="Times New Roman"/>
          <w:sz w:val="28"/>
          <w:szCs w:val="28"/>
        </w:rPr>
        <w:t>2012</w:t>
      </w:r>
      <w:r w:rsidRPr="00CA0158">
        <w:rPr>
          <w:rFonts w:cs="Times New Roman"/>
          <w:sz w:val="28"/>
          <w:szCs w:val="28"/>
        </w:rPr>
        <w:t>, Senate Bill 1813, the “Highway Investment, Job Creation and Economic Growth Act,</w:t>
      </w:r>
      <w:r>
        <w:rPr>
          <w:rFonts w:cs="Times New Roman"/>
          <w:sz w:val="28"/>
          <w:szCs w:val="28"/>
        </w:rPr>
        <w:t>”</w:t>
      </w:r>
      <w:r w:rsidRPr="00CA0158">
        <w:rPr>
          <w:rFonts w:cs="Times New Roman"/>
          <w:sz w:val="28"/>
          <w:szCs w:val="28"/>
        </w:rPr>
        <w:t xml:space="preserve"> which was primarily a highway enhancement bill, included a provision that would no longer permit “stretching” of an IRA for beneficiaries other than a spouse, minor children or a disabled beneficiary.  All other beneficiaries would be left with the five (5) year distribution period.</w:t>
      </w:r>
    </w:p>
    <w:p w:rsidR="00840361" w:rsidRPr="00CA0158" w:rsidRDefault="00840361" w:rsidP="00E35818">
      <w:pPr>
        <w:pStyle w:val="NoSpacing"/>
        <w:numPr>
          <w:ilvl w:val="0"/>
          <w:numId w:val="24"/>
        </w:numPr>
        <w:spacing w:line="480" w:lineRule="auto"/>
        <w:ind w:left="0" w:firstLine="2160"/>
        <w:jc w:val="both"/>
        <w:rPr>
          <w:rFonts w:cs="Times New Roman"/>
          <w:sz w:val="28"/>
          <w:szCs w:val="28"/>
        </w:rPr>
      </w:pPr>
      <w:r w:rsidRPr="00CA0158">
        <w:rPr>
          <w:rFonts w:cs="Times New Roman"/>
          <w:sz w:val="28"/>
          <w:szCs w:val="28"/>
        </w:rPr>
        <w:t xml:space="preserve">After many Republican Senators cried foul, Senator Harry Reed withdrew the provision from the Bill doing away with stretch IRAs in late February </w:t>
      </w:r>
      <w:r>
        <w:rPr>
          <w:rFonts w:cs="Times New Roman"/>
          <w:sz w:val="28"/>
          <w:szCs w:val="28"/>
        </w:rPr>
        <w:t>2012</w:t>
      </w:r>
      <w:r w:rsidRPr="00CA0158">
        <w:rPr>
          <w:rFonts w:cs="Times New Roman"/>
          <w:sz w:val="28"/>
          <w:szCs w:val="28"/>
        </w:rPr>
        <w:t>.</w:t>
      </w:r>
    </w:p>
    <w:p w:rsidR="00840361" w:rsidRDefault="00840361" w:rsidP="00E35818">
      <w:pPr>
        <w:pStyle w:val="NoSpacing"/>
        <w:numPr>
          <w:ilvl w:val="0"/>
          <w:numId w:val="24"/>
        </w:numPr>
        <w:spacing w:line="480" w:lineRule="auto"/>
        <w:ind w:left="0" w:firstLine="2160"/>
        <w:jc w:val="both"/>
        <w:rPr>
          <w:rFonts w:cs="Times New Roman"/>
          <w:sz w:val="28"/>
          <w:szCs w:val="28"/>
        </w:rPr>
      </w:pPr>
      <w:r>
        <w:rPr>
          <w:rFonts w:cs="Times New Roman"/>
          <w:sz w:val="28"/>
          <w:szCs w:val="28"/>
        </w:rPr>
        <w:t>In July 2013, the Senate proposed eliminating the stretch IRA in a similar fashion as described above in order to increase revenue and keep a 3.4% interest rate in place on federally subsidized Stafford loans for low and moderate income students.  Again, the proposal failed to gain any traction amongst a majority of Senators.</w:t>
      </w:r>
    </w:p>
    <w:p w:rsidR="00840361" w:rsidRDefault="00840361" w:rsidP="00E35818">
      <w:pPr>
        <w:pStyle w:val="NoSpacing"/>
        <w:numPr>
          <w:ilvl w:val="0"/>
          <w:numId w:val="24"/>
        </w:numPr>
        <w:spacing w:line="480" w:lineRule="auto"/>
        <w:ind w:left="0" w:firstLine="2160"/>
        <w:jc w:val="both"/>
        <w:rPr>
          <w:rFonts w:cs="Times New Roman"/>
          <w:sz w:val="28"/>
          <w:szCs w:val="28"/>
        </w:rPr>
      </w:pPr>
      <w:r>
        <w:rPr>
          <w:rFonts w:cs="Times New Roman"/>
          <w:sz w:val="28"/>
          <w:szCs w:val="28"/>
        </w:rPr>
        <w:t>A similar proposal was revived in conjunction with a 2014 bill aimed at extending funding for the Highway Trust Fund.  This proposal echoed part of President Obama’s 2014 fiscal year budget proposal.  Again, this proposal was abandoned after failure to reach much consensus in the Senate.</w:t>
      </w:r>
    </w:p>
    <w:p w:rsidR="00840361" w:rsidRDefault="00840361" w:rsidP="00E35818">
      <w:pPr>
        <w:pStyle w:val="NoSpacing"/>
        <w:numPr>
          <w:ilvl w:val="0"/>
          <w:numId w:val="24"/>
        </w:numPr>
        <w:spacing w:line="480" w:lineRule="auto"/>
        <w:ind w:left="0" w:firstLine="2160"/>
        <w:jc w:val="both"/>
        <w:rPr>
          <w:rFonts w:cs="Times New Roman"/>
          <w:sz w:val="28"/>
          <w:szCs w:val="28"/>
        </w:rPr>
      </w:pPr>
      <w:r>
        <w:rPr>
          <w:rFonts w:cs="Times New Roman"/>
          <w:sz w:val="28"/>
          <w:szCs w:val="28"/>
        </w:rPr>
        <w:lastRenderedPageBreak/>
        <w:t>Once again, the Obama administration included elimination of the stretch IRA in its 2015 fiscal year budget proposal, and most recently in its 2016 fiscal year budget proposal.</w:t>
      </w:r>
    </w:p>
    <w:p w:rsidR="00521FE2" w:rsidRDefault="00521FE2" w:rsidP="00E35818">
      <w:pPr>
        <w:pStyle w:val="NoSpacing"/>
        <w:numPr>
          <w:ilvl w:val="0"/>
          <w:numId w:val="24"/>
        </w:numPr>
        <w:spacing w:line="480" w:lineRule="auto"/>
        <w:ind w:left="0" w:firstLine="2160"/>
        <w:jc w:val="both"/>
        <w:rPr>
          <w:rFonts w:cs="Times New Roman"/>
          <w:sz w:val="28"/>
          <w:szCs w:val="28"/>
        </w:rPr>
      </w:pPr>
      <w:r>
        <w:rPr>
          <w:rFonts w:cs="Times New Roman"/>
          <w:sz w:val="28"/>
          <w:szCs w:val="28"/>
        </w:rPr>
        <w:t xml:space="preserve">In September of 2016, The Senate Finance Committee unanimously voted in support of a bill </w:t>
      </w:r>
      <w:r w:rsidR="0095198C">
        <w:rPr>
          <w:rFonts w:cs="Times New Roman"/>
          <w:sz w:val="28"/>
          <w:szCs w:val="28"/>
        </w:rPr>
        <w:t>which would eliminate the stretch for the majority of non-spouse beneficiaries.  This is the first evidence of bi-partisan approach for this concept, but it WAS prior to the 2016 election!</w:t>
      </w:r>
    </w:p>
    <w:p w:rsidR="00840361" w:rsidRPr="00CA0158" w:rsidRDefault="00840361" w:rsidP="00E35818">
      <w:pPr>
        <w:pStyle w:val="NoSpacing"/>
        <w:numPr>
          <w:ilvl w:val="0"/>
          <w:numId w:val="24"/>
        </w:numPr>
        <w:spacing w:line="480" w:lineRule="auto"/>
        <w:ind w:left="0" w:firstLine="2160"/>
        <w:jc w:val="both"/>
        <w:rPr>
          <w:rFonts w:cs="Times New Roman"/>
          <w:sz w:val="28"/>
          <w:szCs w:val="28"/>
        </w:rPr>
      </w:pPr>
      <w:r w:rsidRPr="00CA0158">
        <w:rPr>
          <w:rFonts w:cs="Times New Roman"/>
          <w:sz w:val="28"/>
          <w:szCs w:val="28"/>
        </w:rPr>
        <w:t>The obvious question is, is this a pre</w:t>
      </w:r>
      <w:r w:rsidR="0024282F">
        <w:rPr>
          <w:rFonts w:cs="Times New Roman"/>
          <w:sz w:val="28"/>
          <w:szCs w:val="28"/>
        </w:rPr>
        <w:t xml:space="preserve">cursor of things to come in 2017 </w:t>
      </w:r>
      <w:r w:rsidRPr="00CA0158">
        <w:rPr>
          <w:rFonts w:cs="Times New Roman"/>
          <w:sz w:val="28"/>
          <w:szCs w:val="28"/>
        </w:rPr>
        <w:t>or thereafter?</w:t>
      </w:r>
    </w:p>
    <w:p w:rsidR="00840361" w:rsidRPr="00CA0158" w:rsidRDefault="00F529C7" w:rsidP="00814046">
      <w:pPr>
        <w:pStyle w:val="Work2"/>
        <w:numPr>
          <w:ilvl w:val="0"/>
          <w:numId w:val="0"/>
        </w:numPr>
        <w:spacing w:after="0" w:line="480" w:lineRule="auto"/>
        <w:ind w:firstLine="1440"/>
        <w:jc w:val="both"/>
        <w:rPr>
          <w:rFonts w:cs="Times New Roman"/>
          <w:sz w:val="28"/>
          <w:szCs w:val="28"/>
        </w:rPr>
      </w:pPr>
      <w:r>
        <w:rPr>
          <w:rFonts w:cs="Times New Roman"/>
          <w:sz w:val="28"/>
          <w:szCs w:val="28"/>
        </w:rPr>
        <w:t>B.</w:t>
      </w:r>
      <w:r>
        <w:rPr>
          <w:rFonts w:cs="Times New Roman"/>
          <w:sz w:val="28"/>
          <w:szCs w:val="28"/>
        </w:rPr>
        <w:tab/>
      </w:r>
      <w:r w:rsidR="00840361" w:rsidRPr="00CA0158">
        <w:rPr>
          <w:rFonts w:cs="Times New Roman"/>
          <w:sz w:val="28"/>
          <w:szCs w:val="28"/>
        </w:rPr>
        <w:t>The Policy Arguments in Favo</w:t>
      </w:r>
      <w:r w:rsidR="00840361">
        <w:rPr>
          <w:rFonts w:cs="Times New Roman"/>
          <w:sz w:val="28"/>
          <w:szCs w:val="28"/>
        </w:rPr>
        <w:t>r of and Against the Stretch IRA</w:t>
      </w:r>
      <w:r w:rsidR="00840361" w:rsidRPr="00CA0158">
        <w:rPr>
          <w:rFonts w:cs="Times New Roman"/>
          <w:sz w:val="28"/>
          <w:szCs w:val="28"/>
        </w:rPr>
        <w:t xml:space="preserve"> Concept</w:t>
      </w:r>
    </w:p>
    <w:p w:rsidR="00840361" w:rsidRPr="00CA0158" w:rsidRDefault="00840361" w:rsidP="00E35818">
      <w:pPr>
        <w:pStyle w:val="NoSpacing"/>
        <w:numPr>
          <w:ilvl w:val="0"/>
          <w:numId w:val="26"/>
        </w:numPr>
        <w:spacing w:line="480" w:lineRule="auto"/>
        <w:ind w:left="0" w:firstLine="2160"/>
        <w:jc w:val="both"/>
        <w:rPr>
          <w:rFonts w:cs="Times New Roman"/>
          <w:sz w:val="28"/>
          <w:szCs w:val="28"/>
        </w:rPr>
      </w:pPr>
      <w:r w:rsidRPr="00CA0158">
        <w:rPr>
          <w:rFonts w:cs="Times New Roman"/>
          <w:sz w:val="28"/>
          <w:szCs w:val="28"/>
        </w:rPr>
        <w:t>Those who would argue in favor of limiting the ability of tax-deferred stretching of IRAs by most beneficiaries claim that:</w:t>
      </w:r>
    </w:p>
    <w:p w:rsidR="00840361" w:rsidRPr="00CA0158" w:rsidRDefault="00840361" w:rsidP="00814046">
      <w:pPr>
        <w:pStyle w:val="NoSpacing"/>
        <w:numPr>
          <w:ilvl w:val="1"/>
          <w:numId w:val="26"/>
        </w:numPr>
        <w:spacing w:line="480" w:lineRule="auto"/>
        <w:ind w:left="0" w:firstLine="2880"/>
        <w:jc w:val="both"/>
        <w:rPr>
          <w:rFonts w:cs="Times New Roman"/>
          <w:sz w:val="28"/>
          <w:szCs w:val="28"/>
        </w:rPr>
      </w:pPr>
      <w:r w:rsidRPr="00CA0158">
        <w:rPr>
          <w:rFonts w:cs="Times New Roman"/>
          <w:sz w:val="28"/>
          <w:szCs w:val="28"/>
        </w:rPr>
        <w:t xml:space="preserve">Such a change in the tax law is a relatively easy method of raising significant revenue (the Senate Finance Committee estimated </w:t>
      </w:r>
      <w:r>
        <w:rPr>
          <w:rFonts w:cs="Times New Roman"/>
          <w:sz w:val="28"/>
          <w:szCs w:val="28"/>
        </w:rPr>
        <w:t xml:space="preserve">in 2012 that </w:t>
      </w:r>
      <w:r w:rsidRPr="00CA0158">
        <w:rPr>
          <w:rFonts w:cs="Times New Roman"/>
          <w:sz w:val="28"/>
          <w:szCs w:val="28"/>
        </w:rPr>
        <w:t>such a provision would raise over $4.6 billion over the next ten (10) years).</w:t>
      </w:r>
    </w:p>
    <w:p w:rsidR="00840361" w:rsidRPr="00CA0158" w:rsidRDefault="00840361" w:rsidP="00814046">
      <w:pPr>
        <w:pStyle w:val="NoSpacing"/>
        <w:numPr>
          <w:ilvl w:val="1"/>
          <w:numId w:val="26"/>
        </w:numPr>
        <w:spacing w:line="480" w:lineRule="auto"/>
        <w:ind w:left="0" w:firstLine="2880"/>
        <w:jc w:val="both"/>
        <w:rPr>
          <w:rFonts w:cs="Times New Roman"/>
          <w:sz w:val="28"/>
          <w:szCs w:val="28"/>
        </w:rPr>
      </w:pPr>
      <w:r w:rsidRPr="00CA0158">
        <w:rPr>
          <w:rFonts w:cs="Times New Roman"/>
          <w:sz w:val="28"/>
          <w:szCs w:val="28"/>
        </w:rPr>
        <w:t xml:space="preserve">The primary purpose of IRAs is for the retirement of the </w:t>
      </w:r>
      <w:r w:rsidRPr="00CA0158">
        <w:rPr>
          <w:rFonts w:cs="Times New Roman"/>
          <w:sz w:val="28"/>
          <w:szCs w:val="28"/>
          <w:u w:val="single"/>
        </w:rPr>
        <w:t>creator</w:t>
      </w:r>
      <w:r w:rsidRPr="00CA0158">
        <w:rPr>
          <w:rFonts w:cs="Times New Roman"/>
          <w:sz w:val="28"/>
          <w:szCs w:val="28"/>
        </w:rPr>
        <w:t xml:space="preserve"> of the IRA, and </w:t>
      </w:r>
      <w:r w:rsidRPr="00CA0158">
        <w:rPr>
          <w:rFonts w:cs="Times New Roman"/>
          <w:sz w:val="28"/>
          <w:szCs w:val="28"/>
          <w:u w:val="single"/>
        </w:rPr>
        <w:t>not</w:t>
      </w:r>
      <w:r w:rsidRPr="00CA0158">
        <w:rPr>
          <w:rFonts w:cs="Times New Roman"/>
          <w:sz w:val="28"/>
          <w:szCs w:val="28"/>
        </w:rPr>
        <w:t xml:space="preserve"> the provision of tax-free benefits to later generations.</w:t>
      </w:r>
    </w:p>
    <w:p w:rsidR="00840361" w:rsidRPr="00CA0158" w:rsidRDefault="00840361" w:rsidP="00814046">
      <w:pPr>
        <w:pStyle w:val="NoSpacing"/>
        <w:numPr>
          <w:ilvl w:val="1"/>
          <w:numId w:val="26"/>
        </w:numPr>
        <w:spacing w:line="480" w:lineRule="auto"/>
        <w:ind w:left="0" w:firstLine="2880"/>
        <w:jc w:val="both"/>
        <w:rPr>
          <w:rFonts w:cs="Times New Roman"/>
          <w:sz w:val="28"/>
          <w:szCs w:val="28"/>
        </w:rPr>
      </w:pPr>
      <w:r w:rsidRPr="00CA0158">
        <w:rPr>
          <w:rFonts w:cs="Times New Roman"/>
          <w:sz w:val="28"/>
          <w:szCs w:val="28"/>
        </w:rPr>
        <w:lastRenderedPageBreak/>
        <w:t>This change would encourage consumption spending, as opposed to savings.</w:t>
      </w:r>
    </w:p>
    <w:p w:rsidR="00840361" w:rsidRPr="00CA0158" w:rsidRDefault="00840361" w:rsidP="00814046">
      <w:pPr>
        <w:pStyle w:val="NoSpacing"/>
        <w:numPr>
          <w:ilvl w:val="1"/>
          <w:numId w:val="26"/>
        </w:numPr>
        <w:spacing w:line="480" w:lineRule="auto"/>
        <w:ind w:left="0" w:firstLine="2880"/>
        <w:jc w:val="both"/>
        <w:rPr>
          <w:rFonts w:cs="Times New Roman"/>
          <w:sz w:val="28"/>
          <w:szCs w:val="28"/>
        </w:rPr>
      </w:pPr>
      <w:r w:rsidRPr="00CA0158">
        <w:rPr>
          <w:rFonts w:cs="Times New Roman"/>
          <w:sz w:val="28"/>
          <w:szCs w:val="28"/>
        </w:rPr>
        <w:t>How many children actually “stretch” the distributions anyway?</w:t>
      </w:r>
    </w:p>
    <w:p w:rsidR="00840361" w:rsidRPr="00CA0158" w:rsidRDefault="00840361" w:rsidP="00814046">
      <w:pPr>
        <w:pStyle w:val="NoSpacing"/>
        <w:numPr>
          <w:ilvl w:val="1"/>
          <w:numId w:val="26"/>
        </w:numPr>
        <w:spacing w:line="480" w:lineRule="auto"/>
        <w:ind w:left="0" w:firstLine="2880"/>
        <w:jc w:val="both"/>
        <w:rPr>
          <w:rFonts w:cs="Times New Roman"/>
          <w:sz w:val="28"/>
          <w:szCs w:val="28"/>
        </w:rPr>
      </w:pPr>
      <w:r w:rsidRPr="00CA0158">
        <w:rPr>
          <w:rFonts w:cs="Times New Roman"/>
          <w:sz w:val="28"/>
          <w:szCs w:val="28"/>
        </w:rPr>
        <w:t xml:space="preserve">This provision could put a sizeable dent in </w:t>
      </w:r>
      <w:r>
        <w:rPr>
          <w:rFonts w:cs="Times New Roman"/>
          <w:sz w:val="28"/>
          <w:szCs w:val="28"/>
        </w:rPr>
        <w:t xml:space="preserve">the </w:t>
      </w:r>
      <w:r w:rsidRPr="00CA0158">
        <w:rPr>
          <w:rFonts w:cs="Times New Roman"/>
          <w:sz w:val="28"/>
          <w:szCs w:val="28"/>
        </w:rPr>
        <w:t>current governmental deficit.</w:t>
      </w:r>
    </w:p>
    <w:p w:rsidR="00840361" w:rsidRPr="00CA0158" w:rsidRDefault="00840361" w:rsidP="00814046">
      <w:pPr>
        <w:pStyle w:val="NoSpacing"/>
        <w:numPr>
          <w:ilvl w:val="1"/>
          <w:numId w:val="26"/>
        </w:numPr>
        <w:spacing w:line="480" w:lineRule="auto"/>
        <w:ind w:left="0" w:firstLine="2880"/>
        <w:jc w:val="both"/>
        <w:rPr>
          <w:rFonts w:cs="Times New Roman"/>
          <w:sz w:val="28"/>
          <w:szCs w:val="28"/>
        </w:rPr>
      </w:pPr>
      <w:r w:rsidRPr="00CA0158">
        <w:rPr>
          <w:rFonts w:cs="Times New Roman"/>
          <w:sz w:val="28"/>
          <w:szCs w:val="28"/>
        </w:rPr>
        <w:t>Such a provision appropriately taxes the “rich.”</w:t>
      </w:r>
    </w:p>
    <w:p w:rsidR="00840361" w:rsidRPr="00CA0158" w:rsidRDefault="00840361" w:rsidP="00814046">
      <w:pPr>
        <w:pStyle w:val="NoSpacing"/>
        <w:numPr>
          <w:ilvl w:val="1"/>
          <w:numId w:val="26"/>
        </w:numPr>
        <w:spacing w:line="480" w:lineRule="auto"/>
        <w:ind w:left="0" w:firstLine="2880"/>
        <w:jc w:val="both"/>
        <w:rPr>
          <w:rFonts w:cs="Times New Roman"/>
          <w:sz w:val="28"/>
          <w:szCs w:val="28"/>
        </w:rPr>
      </w:pPr>
      <w:r w:rsidRPr="00CA0158">
        <w:rPr>
          <w:rFonts w:cs="Times New Roman"/>
          <w:sz w:val="28"/>
          <w:szCs w:val="28"/>
        </w:rPr>
        <w:t>As planners, we will no longer agonize over the structure of trusts who will be beneficiaries of an IRA.</w:t>
      </w:r>
    </w:p>
    <w:p w:rsidR="00840361" w:rsidRPr="00CA0158" w:rsidRDefault="00840361" w:rsidP="00E35818">
      <w:pPr>
        <w:pStyle w:val="NoSpacing"/>
        <w:numPr>
          <w:ilvl w:val="0"/>
          <w:numId w:val="26"/>
        </w:numPr>
        <w:spacing w:line="480" w:lineRule="auto"/>
        <w:ind w:left="0" w:firstLine="2160"/>
        <w:jc w:val="both"/>
        <w:rPr>
          <w:rFonts w:cs="Times New Roman"/>
          <w:sz w:val="28"/>
          <w:szCs w:val="28"/>
        </w:rPr>
      </w:pPr>
      <w:r w:rsidRPr="00CA0158">
        <w:rPr>
          <w:rFonts w:cs="Times New Roman"/>
          <w:sz w:val="28"/>
          <w:szCs w:val="28"/>
        </w:rPr>
        <w:t>Those who would argue in favor of maintaining the ability to stretch the tax deferral of IRAs by beneficiaries say the following:</w:t>
      </w:r>
    </w:p>
    <w:p w:rsidR="00840361" w:rsidRPr="00CA0158" w:rsidRDefault="00840361" w:rsidP="00814046">
      <w:pPr>
        <w:pStyle w:val="NoSpacing"/>
        <w:numPr>
          <w:ilvl w:val="0"/>
          <w:numId w:val="27"/>
        </w:numPr>
        <w:spacing w:line="480" w:lineRule="auto"/>
        <w:ind w:left="0" w:firstLine="2880"/>
        <w:jc w:val="both"/>
        <w:rPr>
          <w:rFonts w:cs="Times New Roman"/>
          <w:sz w:val="28"/>
          <w:szCs w:val="28"/>
        </w:rPr>
      </w:pPr>
      <w:r w:rsidRPr="00CA0158">
        <w:rPr>
          <w:rFonts w:cs="Times New Roman"/>
          <w:sz w:val="28"/>
          <w:szCs w:val="28"/>
        </w:rPr>
        <w:t>The ability of a taxpayer’s beneficiary to continue tax deferral of IRA funds is an important component of the creator’s decision to implement IRA planning.</w:t>
      </w:r>
    </w:p>
    <w:p w:rsidR="00840361" w:rsidRPr="00CA0158" w:rsidRDefault="00840361" w:rsidP="00814046">
      <w:pPr>
        <w:pStyle w:val="NoSpacing"/>
        <w:numPr>
          <w:ilvl w:val="0"/>
          <w:numId w:val="27"/>
        </w:numPr>
        <w:spacing w:line="480" w:lineRule="auto"/>
        <w:ind w:left="0" w:firstLine="2880"/>
        <w:jc w:val="both"/>
        <w:rPr>
          <w:rFonts w:cs="Times New Roman"/>
          <w:sz w:val="28"/>
          <w:szCs w:val="28"/>
        </w:rPr>
      </w:pPr>
      <w:r w:rsidRPr="00CA0158">
        <w:rPr>
          <w:rFonts w:cs="Times New Roman"/>
          <w:sz w:val="28"/>
          <w:szCs w:val="28"/>
        </w:rPr>
        <w:t>Such a policy encourages savings.</w:t>
      </w:r>
    </w:p>
    <w:p w:rsidR="00840361" w:rsidRPr="00CA0158" w:rsidRDefault="00840361" w:rsidP="00814046">
      <w:pPr>
        <w:pStyle w:val="NoSpacing"/>
        <w:numPr>
          <w:ilvl w:val="0"/>
          <w:numId w:val="27"/>
        </w:numPr>
        <w:spacing w:line="480" w:lineRule="auto"/>
        <w:ind w:left="0" w:firstLine="2880"/>
        <w:jc w:val="both"/>
        <w:rPr>
          <w:rFonts w:cs="Times New Roman"/>
          <w:sz w:val="28"/>
          <w:szCs w:val="28"/>
        </w:rPr>
      </w:pPr>
      <w:r w:rsidRPr="00CA0158">
        <w:rPr>
          <w:rFonts w:cs="Times New Roman"/>
          <w:sz w:val="28"/>
          <w:szCs w:val="28"/>
        </w:rPr>
        <w:t>Doing away with the stretch IRA option forces the timing of an inheritance and eliminates the beneficiary’s ability to implement his or her own estate planning.</w:t>
      </w:r>
    </w:p>
    <w:p w:rsidR="00840361" w:rsidRPr="00CA0158" w:rsidRDefault="00840361" w:rsidP="00814046">
      <w:pPr>
        <w:pStyle w:val="NoSpacing"/>
        <w:numPr>
          <w:ilvl w:val="0"/>
          <w:numId w:val="27"/>
        </w:numPr>
        <w:spacing w:line="480" w:lineRule="auto"/>
        <w:ind w:left="0" w:firstLine="2880"/>
        <w:jc w:val="both"/>
        <w:rPr>
          <w:rFonts w:cs="Times New Roman"/>
          <w:sz w:val="28"/>
          <w:szCs w:val="28"/>
        </w:rPr>
      </w:pPr>
      <w:r w:rsidRPr="00CA0158">
        <w:rPr>
          <w:rFonts w:cs="Times New Roman"/>
          <w:sz w:val="28"/>
          <w:szCs w:val="28"/>
        </w:rPr>
        <w:t>A quick payout of an inherited IRA provides a windfall to creditors.</w:t>
      </w:r>
    </w:p>
    <w:p w:rsidR="00840361" w:rsidRPr="00CA0158" w:rsidRDefault="00840361" w:rsidP="00814046">
      <w:pPr>
        <w:pStyle w:val="NoSpacing"/>
        <w:numPr>
          <w:ilvl w:val="0"/>
          <w:numId w:val="27"/>
        </w:numPr>
        <w:spacing w:line="480" w:lineRule="auto"/>
        <w:ind w:left="0" w:firstLine="2880"/>
        <w:jc w:val="both"/>
        <w:rPr>
          <w:rFonts w:cs="Times New Roman"/>
          <w:sz w:val="28"/>
          <w:szCs w:val="28"/>
        </w:rPr>
      </w:pPr>
      <w:r w:rsidRPr="00CA0158">
        <w:rPr>
          <w:rFonts w:cs="Times New Roman"/>
          <w:sz w:val="28"/>
          <w:szCs w:val="28"/>
        </w:rPr>
        <w:lastRenderedPageBreak/>
        <w:t xml:space="preserve">Any additional revenue created by such a proposal will only fuel </w:t>
      </w:r>
      <w:r w:rsidRPr="00CA0158">
        <w:rPr>
          <w:rFonts w:cs="Times New Roman"/>
          <w:sz w:val="28"/>
          <w:szCs w:val="28"/>
          <w:u w:val="single"/>
        </w:rPr>
        <w:t>more</w:t>
      </w:r>
      <w:r w:rsidRPr="00CA0158">
        <w:rPr>
          <w:rFonts w:cs="Times New Roman"/>
          <w:sz w:val="28"/>
          <w:szCs w:val="28"/>
        </w:rPr>
        <w:t xml:space="preserve"> governmental spending.</w:t>
      </w:r>
    </w:p>
    <w:p w:rsidR="00840361" w:rsidRPr="00CA0158" w:rsidRDefault="00840361" w:rsidP="00814046">
      <w:pPr>
        <w:pStyle w:val="NoSpacing"/>
        <w:numPr>
          <w:ilvl w:val="0"/>
          <w:numId w:val="27"/>
        </w:numPr>
        <w:spacing w:line="480" w:lineRule="auto"/>
        <w:ind w:left="0" w:firstLine="2880"/>
        <w:jc w:val="both"/>
        <w:rPr>
          <w:rFonts w:cs="Times New Roman"/>
          <w:sz w:val="28"/>
          <w:szCs w:val="28"/>
        </w:rPr>
      </w:pPr>
      <w:r w:rsidRPr="00CA0158">
        <w:rPr>
          <w:rFonts w:cs="Times New Roman"/>
          <w:sz w:val="28"/>
          <w:szCs w:val="28"/>
        </w:rPr>
        <w:t>Such a proposal in fact hurts the middle class.</w:t>
      </w:r>
    </w:p>
    <w:p w:rsidR="00840361" w:rsidRPr="00CA0158" w:rsidRDefault="00F529C7" w:rsidP="00814046">
      <w:pPr>
        <w:pStyle w:val="Work2"/>
        <w:numPr>
          <w:ilvl w:val="0"/>
          <w:numId w:val="0"/>
        </w:numPr>
        <w:spacing w:after="0" w:line="480" w:lineRule="auto"/>
        <w:ind w:firstLine="1440"/>
        <w:jc w:val="both"/>
        <w:rPr>
          <w:rFonts w:cs="Times New Roman"/>
          <w:sz w:val="28"/>
          <w:szCs w:val="28"/>
        </w:rPr>
      </w:pPr>
      <w:r>
        <w:rPr>
          <w:rFonts w:cs="Times New Roman"/>
          <w:sz w:val="28"/>
          <w:szCs w:val="28"/>
        </w:rPr>
        <w:t>C.</w:t>
      </w:r>
      <w:r>
        <w:rPr>
          <w:rFonts w:cs="Times New Roman"/>
          <w:sz w:val="28"/>
          <w:szCs w:val="28"/>
        </w:rPr>
        <w:tab/>
      </w:r>
      <w:r w:rsidR="00840361" w:rsidRPr="00CA0158">
        <w:rPr>
          <w:rFonts w:cs="Times New Roman"/>
          <w:sz w:val="28"/>
          <w:szCs w:val="28"/>
        </w:rPr>
        <w:t>Planning Opportunities in the Event the Stretch I</w:t>
      </w:r>
      <w:r w:rsidR="00840361">
        <w:rPr>
          <w:rFonts w:cs="Times New Roman"/>
          <w:sz w:val="28"/>
          <w:szCs w:val="28"/>
        </w:rPr>
        <w:t>RA</w:t>
      </w:r>
      <w:r w:rsidR="00840361" w:rsidRPr="00CA0158">
        <w:rPr>
          <w:rFonts w:cs="Times New Roman"/>
          <w:sz w:val="28"/>
          <w:szCs w:val="28"/>
        </w:rPr>
        <w:t xml:space="preserve"> is Ultimately Curtailed</w:t>
      </w:r>
    </w:p>
    <w:p w:rsidR="00840361" w:rsidRPr="00CA0158" w:rsidRDefault="00840361" w:rsidP="00E35818">
      <w:pPr>
        <w:pStyle w:val="NoSpacing"/>
        <w:numPr>
          <w:ilvl w:val="0"/>
          <w:numId w:val="29"/>
        </w:numPr>
        <w:spacing w:line="480" w:lineRule="auto"/>
        <w:ind w:left="0" w:firstLine="2160"/>
        <w:jc w:val="both"/>
        <w:rPr>
          <w:rFonts w:cs="Times New Roman"/>
          <w:sz w:val="28"/>
          <w:szCs w:val="28"/>
        </w:rPr>
      </w:pPr>
      <w:r w:rsidRPr="00CA0158">
        <w:rPr>
          <w:rFonts w:cs="Times New Roman"/>
          <w:sz w:val="28"/>
          <w:szCs w:val="28"/>
        </w:rPr>
        <w:t>Charitable Planning</w:t>
      </w:r>
    </w:p>
    <w:p w:rsidR="00840361" w:rsidRPr="00CA0158" w:rsidRDefault="00F529C7" w:rsidP="00814046">
      <w:pPr>
        <w:pStyle w:val="Work4"/>
        <w:numPr>
          <w:ilvl w:val="0"/>
          <w:numId w:val="0"/>
        </w:numPr>
        <w:spacing w:after="0" w:line="480" w:lineRule="auto"/>
        <w:ind w:firstLine="2880"/>
        <w:jc w:val="both"/>
        <w:rPr>
          <w:rFonts w:cs="Times New Roman"/>
          <w:sz w:val="28"/>
          <w:szCs w:val="28"/>
        </w:rPr>
      </w:pPr>
      <w:r>
        <w:rPr>
          <w:rFonts w:cs="Times New Roman"/>
          <w:sz w:val="28"/>
          <w:szCs w:val="28"/>
        </w:rPr>
        <w:t>a.</w:t>
      </w:r>
      <w:r>
        <w:rPr>
          <w:rFonts w:cs="Times New Roman"/>
          <w:sz w:val="28"/>
          <w:szCs w:val="28"/>
        </w:rPr>
        <w:tab/>
      </w:r>
      <w:r w:rsidR="00840361" w:rsidRPr="00CA0158">
        <w:rPr>
          <w:rFonts w:cs="Times New Roman"/>
          <w:sz w:val="28"/>
          <w:szCs w:val="28"/>
        </w:rPr>
        <w:t>Such a change will provide even more incentive for benefitting charity with IRAs upon death.</w:t>
      </w:r>
    </w:p>
    <w:p w:rsidR="00840361" w:rsidRPr="00CA0158" w:rsidRDefault="00F529C7" w:rsidP="00814046">
      <w:pPr>
        <w:pStyle w:val="Work4"/>
        <w:numPr>
          <w:ilvl w:val="0"/>
          <w:numId w:val="0"/>
        </w:numPr>
        <w:spacing w:after="0" w:line="480" w:lineRule="auto"/>
        <w:ind w:firstLine="2880"/>
        <w:jc w:val="both"/>
        <w:rPr>
          <w:rFonts w:cs="Times New Roman"/>
          <w:sz w:val="28"/>
          <w:szCs w:val="28"/>
        </w:rPr>
      </w:pPr>
      <w:r>
        <w:rPr>
          <w:rFonts w:cs="Times New Roman"/>
          <w:sz w:val="28"/>
          <w:szCs w:val="28"/>
        </w:rPr>
        <w:t>b.</w:t>
      </w:r>
      <w:r>
        <w:rPr>
          <w:rFonts w:cs="Times New Roman"/>
          <w:sz w:val="28"/>
          <w:szCs w:val="28"/>
        </w:rPr>
        <w:tab/>
      </w:r>
      <w:r w:rsidR="00840361" w:rsidRPr="00CA0158">
        <w:rPr>
          <w:rFonts w:cs="Times New Roman"/>
          <w:sz w:val="28"/>
          <w:szCs w:val="28"/>
        </w:rPr>
        <w:t>Funding a CRT with an IRA will achieve some of the deferral lost if the IRA stretch technique is eliminated.</w:t>
      </w:r>
    </w:p>
    <w:p w:rsidR="00840361" w:rsidRPr="00CA0158" w:rsidRDefault="00977AE1" w:rsidP="00E35818">
      <w:pPr>
        <w:pStyle w:val="Work3"/>
        <w:numPr>
          <w:ilvl w:val="0"/>
          <w:numId w:val="0"/>
        </w:numPr>
        <w:spacing w:after="0" w:line="480" w:lineRule="auto"/>
        <w:ind w:firstLine="2160"/>
        <w:jc w:val="both"/>
        <w:rPr>
          <w:rFonts w:cs="Times New Roman"/>
          <w:sz w:val="28"/>
          <w:szCs w:val="28"/>
        </w:rPr>
      </w:pPr>
      <w:r>
        <w:rPr>
          <w:rFonts w:cs="Times New Roman"/>
          <w:sz w:val="28"/>
          <w:szCs w:val="28"/>
        </w:rPr>
        <w:t>2.</w:t>
      </w:r>
      <w:r>
        <w:rPr>
          <w:rFonts w:cs="Times New Roman"/>
          <w:sz w:val="28"/>
          <w:szCs w:val="28"/>
        </w:rPr>
        <w:tab/>
      </w:r>
      <w:r w:rsidR="00840361" w:rsidRPr="00CA0158">
        <w:rPr>
          <w:rFonts w:cs="Times New Roman"/>
          <w:sz w:val="28"/>
          <w:szCs w:val="28"/>
        </w:rPr>
        <w:t>Such a change will add more fuel to the fire in Roth IRA conversion planning.</w:t>
      </w:r>
    </w:p>
    <w:p w:rsidR="00840361" w:rsidRPr="00CA0158" w:rsidRDefault="00977AE1" w:rsidP="00E35818">
      <w:pPr>
        <w:pStyle w:val="Work3"/>
        <w:numPr>
          <w:ilvl w:val="0"/>
          <w:numId w:val="0"/>
        </w:numPr>
        <w:spacing w:after="0" w:line="480" w:lineRule="auto"/>
        <w:ind w:firstLine="2160"/>
        <w:jc w:val="both"/>
        <w:rPr>
          <w:rFonts w:cs="Times New Roman"/>
          <w:sz w:val="28"/>
          <w:szCs w:val="28"/>
        </w:rPr>
      </w:pPr>
      <w:r>
        <w:rPr>
          <w:rFonts w:cs="Times New Roman"/>
          <w:sz w:val="28"/>
          <w:szCs w:val="28"/>
        </w:rPr>
        <w:t>3.</w:t>
      </w:r>
      <w:r>
        <w:rPr>
          <w:rFonts w:cs="Times New Roman"/>
          <w:sz w:val="28"/>
          <w:szCs w:val="28"/>
        </w:rPr>
        <w:tab/>
      </w:r>
      <w:r w:rsidR="00840361" w:rsidRPr="00CA0158">
        <w:rPr>
          <w:rFonts w:cs="Times New Roman"/>
          <w:sz w:val="28"/>
          <w:szCs w:val="28"/>
        </w:rPr>
        <w:t>Such a change will arguably provide more need for ILIT’s.</w:t>
      </w:r>
    </w:p>
    <w:p w:rsidR="00840361" w:rsidRPr="00821285" w:rsidRDefault="00977AE1" w:rsidP="00E35818">
      <w:pPr>
        <w:pStyle w:val="Work3"/>
        <w:numPr>
          <w:ilvl w:val="0"/>
          <w:numId w:val="0"/>
        </w:numPr>
        <w:spacing w:after="0" w:line="480" w:lineRule="auto"/>
        <w:ind w:firstLine="2160"/>
        <w:jc w:val="both"/>
        <w:rPr>
          <w:rFonts w:cs="Times New Roman"/>
          <w:sz w:val="28"/>
          <w:szCs w:val="28"/>
        </w:rPr>
      </w:pPr>
      <w:r>
        <w:rPr>
          <w:rFonts w:cs="Times New Roman"/>
          <w:sz w:val="28"/>
          <w:szCs w:val="28"/>
        </w:rPr>
        <w:t>4.</w:t>
      </w:r>
      <w:r>
        <w:rPr>
          <w:rFonts w:cs="Times New Roman"/>
          <w:sz w:val="28"/>
          <w:szCs w:val="28"/>
        </w:rPr>
        <w:tab/>
      </w:r>
      <w:r w:rsidR="00840361" w:rsidRPr="00CA0158">
        <w:rPr>
          <w:rFonts w:cs="Times New Roman"/>
          <w:sz w:val="28"/>
          <w:szCs w:val="28"/>
        </w:rPr>
        <w:t xml:space="preserve">If generation skipping planning is a major objective of a client, utilizing IRAs to push taxable inheritance down to lower bracket beneficiaries should be strongly </w:t>
      </w:r>
      <w:r w:rsidR="00840361" w:rsidRPr="00821285">
        <w:rPr>
          <w:rFonts w:cs="Times New Roman"/>
          <w:sz w:val="28"/>
          <w:szCs w:val="28"/>
        </w:rPr>
        <w:t>considered.</w:t>
      </w:r>
    </w:p>
    <w:p w:rsidR="00977AE1" w:rsidRDefault="00977AE1" w:rsidP="00E35818">
      <w:pPr>
        <w:pStyle w:val="Work3"/>
        <w:numPr>
          <w:ilvl w:val="0"/>
          <w:numId w:val="0"/>
        </w:numPr>
        <w:spacing w:after="0" w:line="480" w:lineRule="auto"/>
        <w:ind w:firstLine="2160"/>
        <w:jc w:val="both"/>
        <w:rPr>
          <w:rFonts w:cs="Times New Roman"/>
          <w:sz w:val="28"/>
          <w:szCs w:val="28"/>
        </w:rPr>
      </w:pPr>
      <w:r>
        <w:rPr>
          <w:rFonts w:cs="Times New Roman"/>
          <w:sz w:val="28"/>
          <w:szCs w:val="28"/>
        </w:rPr>
        <w:t>5.</w:t>
      </w:r>
      <w:r>
        <w:rPr>
          <w:rFonts w:cs="Times New Roman"/>
          <w:sz w:val="28"/>
          <w:szCs w:val="28"/>
        </w:rPr>
        <w:tab/>
      </w:r>
      <w:r w:rsidR="00840361">
        <w:rPr>
          <w:rFonts w:cs="Times New Roman"/>
          <w:sz w:val="28"/>
          <w:szCs w:val="28"/>
        </w:rPr>
        <w:t>The advisor should anticipate to the extent feasible the possible use of disclaimers by designated beneficiaries of the IRA, in the structuring of the IRA owner’s beneficiary designation.</w:t>
      </w:r>
    </w:p>
    <w:p w:rsidR="00840361" w:rsidRPr="00821285" w:rsidRDefault="00977AE1" w:rsidP="00814046">
      <w:pPr>
        <w:pStyle w:val="Work3"/>
        <w:numPr>
          <w:ilvl w:val="0"/>
          <w:numId w:val="0"/>
        </w:numPr>
        <w:spacing w:after="0" w:line="480" w:lineRule="auto"/>
        <w:ind w:firstLine="720"/>
        <w:jc w:val="both"/>
        <w:rPr>
          <w:rFonts w:cs="Times New Roman"/>
          <w:sz w:val="28"/>
          <w:szCs w:val="28"/>
        </w:rPr>
      </w:pPr>
      <w:r>
        <w:rPr>
          <w:rFonts w:cs="Times New Roman"/>
          <w:sz w:val="28"/>
          <w:szCs w:val="28"/>
        </w:rPr>
        <w:t xml:space="preserve">IX </w:t>
      </w:r>
      <w:r>
        <w:rPr>
          <w:rFonts w:cs="Times New Roman"/>
          <w:sz w:val="28"/>
          <w:szCs w:val="28"/>
        </w:rPr>
        <w:tab/>
      </w:r>
      <w:r w:rsidR="00840361" w:rsidRPr="00821285">
        <w:rPr>
          <w:rFonts w:cs="Times New Roman"/>
          <w:sz w:val="28"/>
          <w:szCs w:val="28"/>
        </w:rPr>
        <w:t>THE PROPOSED $3,000,000 CAP ON IRA ACCUMULATIONS</w:t>
      </w:r>
    </w:p>
    <w:p w:rsidR="00840361" w:rsidRDefault="008A25B4" w:rsidP="00814046">
      <w:pPr>
        <w:pStyle w:val="Work2"/>
        <w:numPr>
          <w:ilvl w:val="0"/>
          <w:numId w:val="0"/>
        </w:numPr>
        <w:tabs>
          <w:tab w:val="left" w:pos="720"/>
        </w:tabs>
        <w:spacing w:after="0" w:line="480" w:lineRule="auto"/>
        <w:ind w:firstLine="1440"/>
        <w:jc w:val="both"/>
        <w:rPr>
          <w:rFonts w:eastAsia="Times New Roman" w:cs="Times New Roman"/>
          <w:sz w:val="28"/>
          <w:szCs w:val="28"/>
        </w:rPr>
      </w:pPr>
      <w:r>
        <w:rPr>
          <w:rFonts w:eastAsia="Times New Roman" w:cs="Times New Roman"/>
          <w:sz w:val="28"/>
          <w:szCs w:val="28"/>
        </w:rPr>
        <w:lastRenderedPageBreak/>
        <w:t>A.</w:t>
      </w:r>
      <w:r>
        <w:rPr>
          <w:rFonts w:eastAsia="Times New Roman" w:cs="Times New Roman"/>
          <w:sz w:val="28"/>
          <w:szCs w:val="28"/>
        </w:rPr>
        <w:tab/>
      </w:r>
      <w:r w:rsidR="00840361" w:rsidRPr="00A81E38">
        <w:rPr>
          <w:rFonts w:eastAsia="Times New Roman" w:cs="Times New Roman"/>
          <w:sz w:val="28"/>
          <w:szCs w:val="28"/>
        </w:rPr>
        <w:t>On or about April 10, 2013, President Obama released his proposed 2014 fiscal year budget.</w:t>
      </w:r>
    </w:p>
    <w:p w:rsidR="00840361" w:rsidRPr="00D6456E" w:rsidRDefault="008A25B4" w:rsidP="00E35818">
      <w:pPr>
        <w:pStyle w:val="Work3"/>
        <w:numPr>
          <w:ilvl w:val="0"/>
          <w:numId w:val="0"/>
        </w:numPr>
        <w:spacing w:line="480" w:lineRule="auto"/>
        <w:ind w:firstLine="2160"/>
        <w:jc w:val="both"/>
        <w:rPr>
          <w:sz w:val="28"/>
          <w:szCs w:val="28"/>
        </w:rPr>
      </w:pPr>
      <w:r>
        <w:rPr>
          <w:sz w:val="28"/>
          <w:szCs w:val="28"/>
        </w:rPr>
        <w:t>1.</w:t>
      </w:r>
      <w:r>
        <w:rPr>
          <w:sz w:val="28"/>
          <w:szCs w:val="28"/>
        </w:rPr>
        <w:tab/>
      </w:r>
      <w:r w:rsidR="00840361" w:rsidRPr="00D6456E">
        <w:rPr>
          <w:sz w:val="28"/>
          <w:szCs w:val="28"/>
        </w:rPr>
        <w:t>The Administration proposed to limit the deduction or exclusion for contributions to defined contribution plans, defined benefit plans, or IRAs for an individual who has total balances or accrued benefits under such plans that are sufficient to provide an annuity equal to the maximum allowable defined benefit plan benefit.</w:t>
      </w:r>
    </w:p>
    <w:p w:rsidR="00840361" w:rsidRPr="00D6456E" w:rsidRDefault="008525AF" w:rsidP="00E35818">
      <w:pPr>
        <w:pStyle w:val="Work3"/>
        <w:numPr>
          <w:ilvl w:val="0"/>
          <w:numId w:val="0"/>
        </w:numPr>
        <w:spacing w:line="480" w:lineRule="auto"/>
        <w:ind w:firstLine="2160"/>
        <w:jc w:val="both"/>
        <w:rPr>
          <w:sz w:val="28"/>
          <w:szCs w:val="28"/>
        </w:rPr>
      </w:pPr>
      <w:r>
        <w:rPr>
          <w:sz w:val="28"/>
          <w:szCs w:val="28"/>
        </w:rPr>
        <w:t>2.</w:t>
      </w:r>
      <w:r>
        <w:rPr>
          <w:sz w:val="28"/>
          <w:szCs w:val="28"/>
        </w:rPr>
        <w:tab/>
      </w:r>
      <w:r w:rsidR="00840361" w:rsidRPr="00D6456E">
        <w:rPr>
          <w:sz w:val="28"/>
          <w:szCs w:val="28"/>
        </w:rPr>
        <w:t xml:space="preserve">This proposal was again included in the President’s 2015 fiscal year budget, released on March 4, 2014, and most recently, is again included in the </w:t>
      </w:r>
      <w:r w:rsidR="00840361">
        <w:rPr>
          <w:sz w:val="28"/>
          <w:szCs w:val="28"/>
        </w:rPr>
        <w:t>P</w:t>
      </w:r>
      <w:r w:rsidR="00840361" w:rsidRPr="00D6456E">
        <w:rPr>
          <w:sz w:val="28"/>
          <w:szCs w:val="28"/>
        </w:rPr>
        <w:t>resident’s 2016 fiscal year budget.</w:t>
      </w:r>
    </w:p>
    <w:p w:rsidR="00840361" w:rsidRPr="00D6456E" w:rsidRDefault="008525AF" w:rsidP="00814046">
      <w:pPr>
        <w:pStyle w:val="Work4"/>
        <w:numPr>
          <w:ilvl w:val="0"/>
          <w:numId w:val="0"/>
        </w:numPr>
        <w:tabs>
          <w:tab w:val="left" w:pos="720"/>
        </w:tabs>
        <w:spacing w:after="0" w:line="480" w:lineRule="auto"/>
        <w:ind w:firstLine="2880"/>
        <w:jc w:val="both"/>
        <w:rPr>
          <w:rFonts w:eastAsia="Times New Roman" w:cs="Times New Roman"/>
          <w:sz w:val="28"/>
          <w:szCs w:val="28"/>
        </w:rPr>
      </w:pPr>
      <w:r>
        <w:rPr>
          <w:sz w:val="28"/>
          <w:szCs w:val="28"/>
        </w:rPr>
        <w:t>a.</w:t>
      </w:r>
      <w:r>
        <w:rPr>
          <w:sz w:val="28"/>
          <w:szCs w:val="28"/>
        </w:rPr>
        <w:tab/>
      </w:r>
      <w:r w:rsidR="00840361" w:rsidRPr="00D6456E">
        <w:rPr>
          <w:sz w:val="28"/>
          <w:szCs w:val="28"/>
        </w:rPr>
        <w:t xml:space="preserve">This maximum allowable defined benefit plan benefit is </w:t>
      </w:r>
      <w:r w:rsidR="00840361" w:rsidRPr="00D6456E">
        <w:rPr>
          <w:sz w:val="28"/>
          <w:szCs w:val="28"/>
          <w:u w:val="single"/>
        </w:rPr>
        <w:t>currently</w:t>
      </w:r>
      <w:r w:rsidR="00840361" w:rsidRPr="00D6456E">
        <w:rPr>
          <w:sz w:val="28"/>
          <w:szCs w:val="28"/>
        </w:rPr>
        <w:t xml:space="preserve"> an annual amount of $205,000 payable in the form of a joint and survivor benefit commencing at age 62, and is indexed for inflation.</w:t>
      </w:r>
    </w:p>
    <w:p w:rsidR="00840361" w:rsidRPr="00D6456E" w:rsidRDefault="008525AF" w:rsidP="00814046">
      <w:pPr>
        <w:pStyle w:val="Work4"/>
        <w:numPr>
          <w:ilvl w:val="0"/>
          <w:numId w:val="0"/>
        </w:numPr>
        <w:tabs>
          <w:tab w:val="left" w:pos="720"/>
        </w:tabs>
        <w:spacing w:after="0" w:line="480" w:lineRule="auto"/>
        <w:ind w:firstLine="2880"/>
        <w:jc w:val="both"/>
        <w:rPr>
          <w:rFonts w:eastAsia="Times New Roman" w:cs="Times New Roman"/>
          <w:sz w:val="28"/>
          <w:szCs w:val="28"/>
        </w:rPr>
      </w:pPr>
      <w:r>
        <w:rPr>
          <w:rFonts w:eastAsia="Times New Roman" w:cs="Times New Roman"/>
          <w:sz w:val="28"/>
          <w:szCs w:val="28"/>
        </w:rPr>
        <w:t>b.</w:t>
      </w:r>
      <w:r>
        <w:rPr>
          <w:rFonts w:eastAsia="Times New Roman" w:cs="Times New Roman"/>
          <w:sz w:val="28"/>
          <w:szCs w:val="28"/>
        </w:rPr>
        <w:tab/>
      </w:r>
      <w:r w:rsidR="00840361" w:rsidRPr="00D6456E">
        <w:rPr>
          <w:rFonts w:eastAsia="Times New Roman" w:cs="Times New Roman"/>
          <w:sz w:val="28"/>
          <w:szCs w:val="28"/>
        </w:rPr>
        <w:t>The maximum accumulation that would apply for an individual at age 62 is approximately $3,400,000.</w:t>
      </w:r>
    </w:p>
    <w:p w:rsidR="00840361" w:rsidRPr="00821285" w:rsidRDefault="00840361" w:rsidP="00814046">
      <w:pPr>
        <w:spacing w:after="0" w:line="480" w:lineRule="auto"/>
        <w:ind w:firstLine="1440"/>
        <w:jc w:val="both"/>
        <w:rPr>
          <w:rFonts w:ascii="Times New Roman" w:eastAsia="Times New Roman" w:hAnsi="Times New Roman" w:cs="Times New Roman"/>
          <w:sz w:val="28"/>
          <w:szCs w:val="28"/>
        </w:rPr>
      </w:pPr>
      <w:r w:rsidRPr="00821285">
        <w:rPr>
          <w:rFonts w:ascii="Times New Roman" w:eastAsia="Arial" w:hAnsi="Times New Roman" w:cs="Times New Roman"/>
          <w:sz w:val="28"/>
          <w:szCs w:val="28"/>
        </w:rPr>
        <w:t>B.</w:t>
      </w:r>
      <w:r w:rsidRPr="00821285">
        <w:rPr>
          <w:rFonts w:ascii="Times New Roman" w:eastAsia="Arial" w:hAnsi="Times New Roman" w:cs="Times New Roman"/>
          <w:sz w:val="28"/>
          <w:szCs w:val="28"/>
        </w:rPr>
        <w:tab/>
      </w:r>
      <w:r w:rsidRPr="00821285">
        <w:rPr>
          <w:rFonts w:ascii="Times New Roman" w:eastAsia="Times New Roman" w:hAnsi="Times New Roman" w:cs="Times New Roman"/>
          <w:sz w:val="28"/>
          <w:szCs w:val="28"/>
        </w:rPr>
        <w:t>The Effects of Such an IRA Accumulation Cap</w:t>
      </w:r>
    </w:p>
    <w:p w:rsidR="00840361" w:rsidRPr="00821285" w:rsidRDefault="00840361" w:rsidP="00E35818">
      <w:pPr>
        <w:pStyle w:val="ListParagraph"/>
        <w:numPr>
          <w:ilvl w:val="0"/>
          <w:numId w:val="33"/>
        </w:numPr>
        <w:tabs>
          <w:tab w:val="left" w:pos="720"/>
          <w:tab w:val="left" w:pos="1440"/>
        </w:tabs>
        <w:spacing w:after="0" w:line="480" w:lineRule="auto"/>
        <w:ind w:left="0" w:firstLine="2160"/>
        <w:jc w:val="both"/>
        <w:rPr>
          <w:rFonts w:ascii="Times New Roman" w:eastAsia="Times New Roman" w:hAnsi="Times New Roman" w:cs="Times New Roman"/>
          <w:sz w:val="28"/>
          <w:szCs w:val="28"/>
        </w:rPr>
      </w:pPr>
      <w:r w:rsidRPr="00821285">
        <w:rPr>
          <w:rFonts w:ascii="Times New Roman" w:eastAsia="Times New Roman" w:hAnsi="Times New Roman" w:cs="Times New Roman"/>
          <w:sz w:val="28"/>
          <w:szCs w:val="28"/>
        </w:rPr>
        <w:t xml:space="preserve">The implementation of such a rule would not actually force money out of retirement plans over $3,400,000; instead, it would prevent </w:t>
      </w:r>
      <w:r w:rsidRPr="00821285">
        <w:rPr>
          <w:rFonts w:ascii="Times New Roman" w:eastAsia="Times New Roman" w:hAnsi="Times New Roman" w:cs="Times New Roman"/>
          <w:sz w:val="28"/>
          <w:szCs w:val="28"/>
          <w:u w:val="single"/>
        </w:rPr>
        <w:t>new</w:t>
      </w:r>
      <w:r w:rsidRPr="00821285">
        <w:rPr>
          <w:rFonts w:ascii="Times New Roman" w:eastAsia="Times New Roman" w:hAnsi="Times New Roman" w:cs="Times New Roman"/>
          <w:sz w:val="28"/>
          <w:szCs w:val="28"/>
        </w:rPr>
        <w:t xml:space="preserve"> contributions to be made to such a plan.</w:t>
      </w:r>
    </w:p>
    <w:p w:rsidR="00840361" w:rsidRPr="00E15A43" w:rsidRDefault="00840361" w:rsidP="00814046">
      <w:pPr>
        <w:pStyle w:val="Work8"/>
        <w:numPr>
          <w:ilvl w:val="7"/>
          <w:numId w:val="44"/>
        </w:numPr>
        <w:tabs>
          <w:tab w:val="clear" w:pos="6120"/>
          <w:tab w:val="num" w:pos="3600"/>
        </w:tabs>
        <w:spacing w:after="0" w:line="480" w:lineRule="auto"/>
        <w:ind w:left="0" w:firstLine="2880"/>
        <w:jc w:val="both"/>
        <w:rPr>
          <w:rFonts w:cs="Times New Roman"/>
          <w:sz w:val="28"/>
          <w:szCs w:val="28"/>
        </w:rPr>
      </w:pPr>
      <w:r w:rsidRPr="00E15A43">
        <w:rPr>
          <w:sz w:val="28"/>
          <w:szCs w:val="28"/>
        </w:rPr>
        <w:lastRenderedPageBreak/>
        <w:t>If the end of the year account balance exceeds the $3,400,000 threshold, the maximum permissible contribution for the next year would be $0.</w:t>
      </w:r>
    </w:p>
    <w:p w:rsidR="00840361" w:rsidRPr="00E15A43" w:rsidRDefault="00840361" w:rsidP="00814046">
      <w:pPr>
        <w:pStyle w:val="Work8"/>
        <w:numPr>
          <w:ilvl w:val="7"/>
          <w:numId w:val="44"/>
        </w:numPr>
        <w:tabs>
          <w:tab w:val="clear" w:pos="6120"/>
          <w:tab w:val="num" w:pos="3600"/>
        </w:tabs>
        <w:spacing w:after="0" w:line="480" w:lineRule="auto"/>
        <w:ind w:left="0" w:firstLine="2880"/>
        <w:jc w:val="both"/>
        <w:rPr>
          <w:rFonts w:cs="Times New Roman"/>
          <w:sz w:val="28"/>
          <w:szCs w:val="28"/>
        </w:rPr>
      </w:pPr>
      <w:r w:rsidRPr="00E15A43">
        <w:rPr>
          <w:rFonts w:cs="Times New Roman"/>
          <w:sz w:val="28"/>
          <w:szCs w:val="28"/>
        </w:rPr>
        <w:t>If the account gets below the maximum threshold in a future year, then contributions would again be permitted.</w:t>
      </w:r>
    </w:p>
    <w:p w:rsidR="00840361" w:rsidRPr="00821285" w:rsidRDefault="00840361" w:rsidP="00E35818">
      <w:pPr>
        <w:pStyle w:val="Work3"/>
        <w:numPr>
          <w:ilvl w:val="0"/>
          <w:numId w:val="33"/>
        </w:numPr>
        <w:spacing w:after="0" w:line="480" w:lineRule="auto"/>
        <w:ind w:left="0" w:firstLine="2160"/>
        <w:jc w:val="both"/>
        <w:rPr>
          <w:rFonts w:cs="Times New Roman"/>
          <w:sz w:val="28"/>
          <w:szCs w:val="28"/>
        </w:rPr>
      </w:pPr>
      <w:r w:rsidRPr="00821285">
        <w:rPr>
          <w:rFonts w:cs="Times New Roman"/>
          <w:sz w:val="28"/>
          <w:szCs w:val="28"/>
        </w:rPr>
        <w:t xml:space="preserve">The proposal provides that this cap would apply to all </w:t>
      </w:r>
      <w:r w:rsidRPr="00821285">
        <w:rPr>
          <w:rFonts w:cs="Times New Roman"/>
          <w:sz w:val="28"/>
          <w:szCs w:val="28"/>
          <w:u w:val="single"/>
        </w:rPr>
        <w:t>tax-preferred</w:t>
      </w:r>
      <w:r w:rsidRPr="00821285">
        <w:rPr>
          <w:rFonts w:cs="Times New Roman"/>
          <w:sz w:val="28"/>
          <w:szCs w:val="28"/>
        </w:rPr>
        <w:t xml:space="preserve"> accounts (as opposed to </w:t>
      </w:r>
      <w:r w:rsidRPr="00821285">
        <w:rPr>
          <w:rFonts w:cs="Times New Roman"/>
          <w:sz w:val="28"/>
          <w:szCs w:val="28"/>
          <w:u w:val="single"/>
        </w:rPr>
        <w:t>tax-deferred</w:t>
      </w:r>
      <w:r w:rsidRPr="00821285">
        <w:rPr>
          <w:rFonts w:cs="Times New Roman"/>
          <w:sz w:val="28"/>
          <w:szCs w:val="28"/>
        </w:rPr>
        <w:t xml:space="preserve"> accounts), which would cover all types of retirement plans, including both traditional </w:t>
      </w:r>
      <w:r w:rsidRPr="00821285">
        <w:rPr>
          <w:rFonts w:cs="Times New Roman"/>
          <w:sz w:val="28"/>
          <w:szCs w:val="28"/>
          <w:u w:val="single"/>
        </w:rPr>
        <w:t>and</w:t>
      </w:r>
      <w:r w:rsidRPr="00821285">
        <w:rPr>
          <w:rFonts w:cs="Times New Roman"/>
          <w:sz w:val="28"/>
          <w:szCs w:val="28"/>
        </w:rPr>
        <w:t xml:space="preserve"> Roth IRAs.</w:t>
      </w:r>
    </w:p>
    <w:p w:rsidR="00840361" w:rsidRPr="00821285" w:rsidRDefault="00840361" w:rsidP="00814046">
      <w:pPr>
        <w:pStyle w:val="ListParagraph"/>
        <w:numPr>
          <w:ilvl w:val="0"/>
          <w:numId w:val="31"/>
        </w:numPr>
        <w:tabs>
          <w:tab w:val="left" w:pos="720"/>
          <w:tab w:val="left" w:pos="1440"/>
          <w:tab w:val="left" w:pos="3600"/>
        </w:tabs>
        <w:spacing w:after="0" w:line="480" w:lineRule="auto"/>
        <w:ind w:left="0" w:firstLine="2880"/>
        <w:jc w:val="both"/>
        <w:rPr>
          <w:rFonts w:ascii="Times New Roman" w:eastAsia="Times New Roman" w:hAnsi="Times New Roman" w:cs="Times New Roman"/>
          <w:w w:val="106"/>
          <w:sz w:val="28"/>
          <w:szCs w:val="28"/>
        </w:rPr>
      </w:pPr>
      <w:r w:rsidRPr="00821285">
        <w:rPr>
          <w:rFonts w:ascii="Times New Roman" w:eastAsia="Times New Roman" w:hAnsi="Times New Roman" w:cs="Times New Roman"/>
          <w:w w:val="106"/>
          <w:sz w:val="28"/>
          <w:szCs w:val="28"/>
        </w:rPr>
        <w:t>The account balances across all of a taxpayer’s plans would need to be aggregated to determine if that taxpayer has exceeded the cap.</w:t>
      </w:r>
    </w:p>
    <w:p w:rsidR="00840361" w:rsidRPr="00821285" w:rsidRDefault="00840361" w:rsidP="00814046">
      <w:pPr>
        <w:pStyle w:val="ListParagraph"/>
        <w:numPr>
          <w:ilvl w:val="0"/>
          <w:numId w:val="31"/>
        </w:numPr>
        <w:tabs>
          <w:tab w:val="left" w:pos="720"/>
          <w:tab w:val="left" w:pos="1440"/>
          <w:tab w:val="left" w:pos="3600"/>
        </w:tabs>
        <w:spacing w:after="0" w:line="480" w:lineRule="auto"/>
        <w:ind w:left="0" w:firstLine="2880"/>
        <w:jc w:val="both"/>
        <w:rPr>
          <w:rFonts w:ascii="Times New Roman" w:eastAsia="Times New Roman" w:hAnsi="Times New Roman" w:cs="Times New Roman"/>
          <w:w w:val="106"/>
          <w:sz w:val="28"/>
          <w:szCs w:val="28"/>
        </w:rPr>
      </w:pPr>
      <w:r w:rsidRPr="00821285">
        <w:rPr>
          <w:rFonts w:ascii="Times New Roman" w:eastAsia="Times New Roman" w:hAnsi="Times New Roman" w:cs="Times New Roman"/>
          <w:w w:val="106"/>
          <w:sz w:val="28"/>
          <w:szCs w:val="28"/>
        </w:rPr>
        <w:t>This effectively eliminates an incentive to do more Roth conversions in order to “free up” contribution space in the tax-deferred traditional IRA.</w:t>
      </w:r>
    </w:p>
    <w:p w:rsidR="00840361" w:rsidRPr="00E15A43" w:rsidRDefault="00840361" w:rsidP="00E35818">
      <w:pPr>
        <w:pStyle w:val="Work3"/>
        <w:numPr>
          <w:ilvl w:val="0"/>
          <w:numId w:val="33"/>
        </w:numPr>
        <w:spacing w:line="480" w:lineRule="auto"/>
        <w:ind w:left="0" w:firstLine="2160"/>
        <w:jc w:val="both"/>
        <w:rPr>
          <w:w w:val="106"/>
          <w:sz w:val="28"/>
          <w:szCs w:val="28"/>
        </w:rPr>
      </w:pPr>
      <w:r w:rsidRPr="00E15A43">
        <w:rPr>
          <w:w w:val="106"/>
          <w:sz w:val="28"/>
          <w:szCs w:val="28"/>
        </w:rPr>
        <w:t>Although the media has labeled this as a $3,000,000 cap, the actual cap will be a moving target, or an estimate of the amount of money that would purchase an annuity of $205,000 per year for a 62 year old.</w:t>
      </w:r>
    </w:p>
    <w:p w:rsidR="00840361" w:rsidRPr="00821285" w:rsidRDefault="00840361" w:rsidP="00814046">
      <w:pPr>
        <w:pStyle w:val="ListParagraph"/>
        <w:numPr>
          <w:ilvl w:val="0"/>
          <w:numId w:val="34"/>
        </w:numPr>
        <w:tabs>
          <w:tab w:val="left" w:pos="720"/>
          <w:tab w:val="left" w:pos="1440"/>
        </w:tabs>
        <w:spacing w:after="0" w:line="480" w:lineRule="auto"/>
        <w:ind w:left="0" w:firstLine="2880"/>
        <w:jc w:val="both"/>
        <w:rPr>
          <w:rFonts w:ascii="Times New Roman" w:eastAsia="Times New Roman" w:hAnsi="Times New Roman" w:cs="Times New Roman"/>
          <w:w w:val="106"/>
          <w:sz w:val="28"/>
          <w:szCs w:val="28"/>
        </w:rPr>
      </w:pPr>
      <w:r w:rsidRPr="00821285">
        <w:rPr>
          <w:rFonts w:ascii="Times New Roman" w:eastAsia="Times New Roman" w:hAnsi="Times New Roman" w:cs="Times New Roman"/>
          <w:w w:val="106"/>
          <w:sz w:val="28"/>
          <w:szCs w:val="28"/>
        </w:rPr>
        <w:t>Obviously, this calculation is sensitive to current interest rates and annuity pricing.</w:t>
      </w:r>
    </w:p>
    <w:p w:rsidR="00840361" w:rsidRPr="00821285" w:rsidRDefault="00840361" w:rsidP="00814046">
      <w:pPr>
        <w:pStyle w:val="ListParagraph"/>
        <w:numPr>
          <w:ilvl w:val="0"/>
          <w:numId w:val="34"/>
        </w:numPr>
        <w:tabs>
          <w:tab w:val="left" w:pos="720"/>
          <w:tab w:val="left" w:pos="1440"/>
        </w:tabs>
        <w:spacing w:after="0" w:line="480" w:lineRule="auto"/>
        <w:ind w:left="0" w:firstLine="2880"/>
        <w:jc w:val="both"/>
        <w:rPr>
          <w:rFonts w:ascii="Times New Roman" w:eastAsia="Times New Roman" w:hAnsi="Times New Roman" w:cs="Times New Roman"/>
          <w:w w:val="106"/>
          <w:sz w:val="28"/>
          <w:szCs w:val="28"/>
        </w:rPr>
      </w:pPr>
      <w:r w:rsidRPr="00821285">
        <w:rPr>
          <w:rFonts w:ascii="Times New Roman" w:eastAsia="Times New Roman" w:hAnsi="Times New Roman" w:cs="Times New Roman"/>
          <w:w w:val="106"/>
          <w:sz w:val="28"/>
          <w:szCs w:val="28"/>
        </w:rPr>
        <w:t xml:space="preserve">Indeed, under current circumstances, a $205,000 </w:t>
      </w:r>
      <w:r w:rsidRPr="00821285">
        <w:rPr>
          <w:rFonts w:ascii="Times New Roman" w:eastAsia="Times New Roman" w:hAnsi="Times New Roman" w:cs="Times New Roman"/>
          <w:w w:val="106"/>
          <w:sz w:val="28"/>
          <w:szCs w:val="28"/>
        </w:rPr>
        <w:lastRenderedPageBreak/>
        <w:t>per year benefit costs just $3,300,000 for a 62 year old male, $3,450,000 for a 62 year old female, $3,700,000 for a married couple, and a little over $3,800,000 if the couple wants a 20 year term-certain annuity.</w:t>
      </w:r>
    </w:p>
    <w:p w:rsidR="00840361" w:rsidRPr="00821285" w:rsidRDefault="00840361" w:rsidP="00814046">
      <w:pPr>
        <w:pStyle w:val="ListParagraph"/>
        <w:numPr>
          <w:ilvl w:val="0"/>
          <w:numId w:val="31"/>
        </w:numPr>
        <w:tabs>
          <w:tab w:val="left" w:pos="720"/>
          <w:tab w:val="left" w:pos="1440"/>
        </w:tabs>
        <w:spacing w:after="0" w:line="480" w:lineRule="auto"/>
        <w:ind w:left="0" w:firstLine="2880"/>
        <w:jc w:val="both"/>
        <w:rPr>
          <w:rFonts w:ascii="Times New Roman" w:eastAsia="Times New Roman" w:hAnsi="Times New Roman" w:cs="Times New Roman"/>
          <w:w w:val="106"/>
          <w:sz w:val="28"/>
          <w:szCs w:val="28"/>
        </w:rPr>
      </w:pPr>
      <w:r w:rsidRPr="00821285">
        <w:rPr>
          <w:rFonts w:ascii="Times New Roman" w:eastAsia="Times New Roman" w:hAnsi="Times New Roman" w:cs="Times New Roman"/>
          <w:w w:val="106"/>
          <w:sz w:val="28"/>
          <w:szCs w:val="28"/>
        </w:rPr>
        <w:t>If lifespans continue to increase, it may turn out that all of these amounts are too low to generate the necessary $205,000 benefit, at least until the annuity mortality tables are updated!</w:t>
      </w:r>
    </w:p>
    <w:p w:rsidR="00840361" w:rsidRPr="00821285" w:rsidRDefault="00840361" w:rsidP="00814046">
      <w:pPr>
        <w:pStyle w:val="ListParagraph"/>
        <w:numPr>
          <w:ilvl w:val="0"/>
          <w:numId w:val="31"/>
        </w:numPr>
        <w:tabs>
          <w:tab w:val="left" w:pos="720"/>
          <w:tab w:val="left" w:pos="1440"/>
        </w:tabs>
        <w:spacing w:after="0" w:line="480" w:lineRule="auto"/>
        <w:ind w:left="0" w:firstLine="2880"/>
        <w:jc w:val="both"/>
        <w:rPr>
          <w:rFonts w:ascii="Times New Roman" w:eastAsia="Times New Roman" w:hAnsi="Times New Roman" w:cs="Times New Roman"/>
          <w:w w:val="106"/>
          <w:sz w:val="28"/>
          <w:szCs w:val="28"/>
        </w:rPr>
      </w:pPr>
      <w:r w:rsidRPr="00821285">
        <w:rPr>
          <w:rFonts w:ascii="Times New Roman" w:eastAsia="Times New Roman" w:hAnsi="Times New Roman" w:cs="Times New Roman"/>
          <w:w w:val="106"/>
          <w:sz w:val="28"/>
          <w:szCs w:val="28"/>
        </w:rPr>
        <w:t xml:space="preserve">It should be noted that, if an individual prefers a 4% safe withdrawal rate approach to an annuity, the amount necessary to generate such an annuity would be $5,125,000!  Thus, that individual would have to accumulate funds </w:t>
      </w:r>
      <w:r w:rsidRPr="00821285">
        <w:rPr>
          <w:rFonts w:ascii="Times New Roman" w:eastAsia="Times New Roman" w:hAnsi="Times New Roman" w:cs="Times New Roman"/>
          <w:w w:val="106"/>
          <w:sz w:val="28"/>
          <w:szCs w:val="28"/>
          <w:u w:val="single"/>
        </w:rPr>
        <w:t>outside</w:t>
      </w:r>
      <w:r w:rsidRPr="00821285">
        <w:rPr>
          <w:rFonts w:ascii="Times New Roman" w:eastAsia="Times New Roman" w:hAnsi="Times New Roman" w:cs="Times New Roman"/>
          <w:w w:val="106"/>
          <w:sz w:val="28"/>
          <w:szCs w:val="28"/>
        </w:rPr>
        <w:t xml:space="preserve"> his tax-preferred accounts in order to achieve that objective.</w:t>
      </w:r>
    </w:p>
    <w:p w:rsidR="00840361" w:rsidRPr="00A81E38" w:rsidRDefault="00840361" w:rsidP="00814046">
      <w:pPr>
        <w:pStyle w:val="Work1"/>
        <w:numPr>
          <w:ilvl w:val="0"/>
          <w:numId w:val="4"/>
        </w:numPr>
        <w:ind w:left="0" w:firstLine="1440"/>
        <w:jc w:val="both"/>
        <w:rPr>
          <w:sz w:val="28"/>
          <w:szCs w:val="28"/>
        </w:rPr>
      </w:pPr>
      <w:r w:rsidRPr="00A81E38">
        <w:rPr>
          <w:sz w:val="28"/>
          <w:szCs w:val="28"/>
        </w:rPr>
        <w:t>Practical Implications to Such a Cap on I</w:t>
      </w:r>
      <w:r>
        <w:rPr>
          <w:sz w:val="28"/>
          <w:szCs w:val="28"/>
        </w:rPr>
        <w:t>RA</w:t>
      </w:r>
      <w:r w:rsidRPr="00A81E38">
        <w:rPr>
          <w:sz w:val="28"/>
          <w:szCs w:val="28"/>
        </w:rPr>
        <w:t xml:space="preserve"> Accumulations</w:t>
      </w:r>
    </w:p>
    <w:p w:rsidR="00840361" w:rsidRPr="00821285" w:rsidRDefault="00840361" w:rsidP="00E35818">
      <w:pPr>
        <w:pStyle w:val="ListParagraph"/>
        <w:numPr>
          <w:ilvl w:val="0"/>
          <w:numId w:val="35"/>
        </w:numPr>
        <w:spacing w:after="0" w:line="480" w:lineRule="auto"/>
        <w:ind w:left="0" w:firstLine="2160"/>
        <w:jc w:val="both"/>
        <w:rPr>
          <w:rFonts w:ascii="Times New Roman" w:eastAsia="Times New Roman" w:hAnsi="Times New Roman" w:cs="Times New Roman"/>
          <w:sz w:val="28"/>
          <w:szCs w:val="28"/>
        </w:rPr>
      </w:pPr>
      <w:r w:rsidRPr="00821285">
        <w:rPr>
          <w:rFonts w:ascii="Times New Roman" w:eastAsia="Times New Roman" w:hAnsi="Times New Roman" w:cs="Times New Roman"/>
          <w:sz w:val="28"/>
          <w:szCs w:val="28"/>
        </w:rPr>
        <w:t>Governor Romney’s IRA is safe; if his retirement accounts exceed the cap, this merely means he cannot make any new contribution to any of these accounts.</w:t>
      </w:r>
    </w:p>
    <w:p w:rsidR="00840361" w:rsidRPr="00821285" w:rsidRDefault="00840361" w:rsidP="00E35818">
      <w:pPr>
        <w:pStyle w:val="ListParagraph"/>
        <w:numPr>
          <w:ilvl w:val="0"/>
          <w:numId w:val="35"/>
        </w:numPr>
        <w:spacing w:after="0" w:line="480" w:lineRule="auto"/>
        <w:ind w:left="0" w:firstLine="2160"/>
        <w:jc w:val="both"/>
        <w:rPr>
          <w:rFonts w:ascii="Times New Roman" w:eastAsia="Times New Roman" w:hAnsi="Times New Roman" w:cs="Times New Roman"/>
          <w:sz w:val="28"/>
          <w:szCs w:val="28"/>
        </w:rPr>
      </w:pPr>
      <w:r w:rsidRPr="00821285">
        <w:rPr>
          <w:rFonts w:ascii="Times New Roman" w:eastAsia="Times New Roman" w:hAnsi="Times New Roman" w:cs="Times New Roman"/>
          <w:sz w:val="28"/>
          <w:szCs w:val="28"/>
        </w:rPr>
        <w:t>One wonders how the IRS will effectively track everyone’s aggregate tax-preferred account accumulations on an annual basis!</w:t>
      </w:r>
    </w:p>
    <w:p w:rsidR="00840361" w:rsidRPr="00821285" w:rsidRDefault="00840361" w:rsidP="00814046">
      <w:pPr>
        <w:pStyle w:val="ListParagraph"/>
        <w:numPr>
          <w:ilvl w:val="0"/>
          <w:numId w:val="36"/>
        </w:numPr>
        <w:tabs>
          <w:tab w:val="left" w:pos="720"/>
        </w:tabs>
        <w:spacing w:after="0" w:line="480" w:lineRule="auto"/>
        <w:ind w:left="0" w:firstLine="2880"/>
        <w:jc w:val="both"/>
        <w:rPr>
          <w:rFonts w:ascii="Times New Roman" w:eastAsia="Times New Roman" w:hAnsi="Times New Roman" w:cs="Times New Roman"/>
          <w:sz w:val="28"/>
          <w:szCs w:val="28"/>
        </w:rPr>
      </w:pPr>
      <w:r w:rsidRPr="00821285">
        <w:rPr>
          <w:rFonts w:ascii="Times New Roman" w:eastAsia="Times New Roman" w:hAnsi="Times New Roman" w:cs="Times New Roman"/>
          <w:sz w:val="28"/>
          <w:szCs w:val="28"/>
        </w:rPr>
        <w:t>How will an employer be able to report this accurately, when the employer will have no knowledge of the employee’s other tax-preferred accounts?</w:t>
      </w:r>
    </w:p>
    <w:p w:rsidR="00840361" w:rsidRPr="00821285" w:rsidRDefault="00840361" w:rsidP="00814046">
      <w:pPr>
        <w:pStyle w:val="ListParagraph"/>
        <w:numPr>
          <w:ilvl w:val="0"/>
          <w:numId w:val="36"/>
        </w:numPr>
        <w:tabs>
          <w:tab w:val="left" w:pos="720"/>
        </w:tabs>
        <w:spacing w:after="0" w:line="480" w:lineRule="auto"/>
        <w:ind w:left="0" w:firstLine="2880"/>
        <w:jc w:val="both"/>
        <w:rPr>
          <w:rFonts w:ascii="Times New Roman" w:eastAsia="Times New Roman" w:hAnsi="Times New Roman" w:cs="Times New Roman"/>
          <w:sz w:val="28"/>
          <w:szCs w:val="28"/>
        </w:rPr>
      </w:pPr>
      <w:r w:rsidRPr="00821285">
        <w:rPr>
          <w:rFonts w:ascii="Times New Roman" w:eastAsia="Times New Roman" w:hAnsi="Times New Roman" w:cs="Times New Roman"/>
          <w:sz w:val="28"/>
          <w:szCs w:val="28"/>
        </w:rPr>
        <w:lastRenderedPageBreak/>
        <w:t xml:space="preserve">Will every plan provider be forced to report annually their </w:t>
      </w:r>
      <w:r>
        <w:rPr>
          <w:rFonts w:ascii="Times New Roman" w:eastAsia="Times New Roman" w:hAnsi="Times New Roman" w:cs="Times New Roman"/>
          <w:sz w:val="28"/>
          <w:szCs w:val="28"/>
        </w:rPr>
        <w:t xml:space="preserve">participant’s </w:t>
      </w:r>
      <w:r w:rsidRPr="00821285">
        <w:rPr>
          <w:rFonts w:ascii="Times New Roman" w:eastAsia="Times New Roman" w:hAnsi="Times New Roman" w:cs="Times New Roman"/>
          <w:sz w:val="28"/>
          <w:szCs w:val="28"/>
        </w:rPr>
        <w:t>tax-preferred account accumulations?</w:t>
      </w:r>
    </w:p>
    <w:p w:rsidR="00840361" w:rsidRPr="00821285" w:rsidRDefault="00840361" w:rsidP="00814046">
      <w:pPr>
        <w:pStyle w:val="ListParagraph"/>
        <w:numPr>
          <w:ilvl w:val="0"/>
          <w:numId w:val="36"/>
        </w:numPr>
        <w:tabs>
          <w:tab w:val="left" w:pos="720"/>
        </w:tabs>
        <w:spacing w:after="0" w:line="480" w:lineRule="auto"/>
        <w:ind w:left="0" w:firstLine="2880"/>
        <w:jc w:val="both"/>
        <w:rPr>
          <w:rFonts w:ascii="Times New Roman" w:eastAsia="Times New Roman" w:hAnsi="Times New Roman" w:cs="Times New Roman"/>
          <w:sz w:val="28"/>
          <w:szCs w:val="28"/>
        </w:rPr>
      </w:pPr>
      <w:r w:rsidRPr="00821285">
        <w:rPr>
          <w:rFonts w:ascii="Times New Roman" w:eastAsia="Times New Roman" w:hAnsi="Times New Roman" w:cs="Times New Roman"/>
          <w:sz w:val="28"/>
          <w:szCs w:val="28"/>
        </w:rPr>
        <w:t>Can the IRS handle this additional workload</w:t>
      </w:r>
      <w:r>
        <w:rPr>
          <w:rFonts w:ascii="Times New Roman" w:eastAsia="Times New Roman" w:hAnsi="Times New Roman" w:cs="Times New Roman"/>
          <w:sz w:val="28"/>
          <w:szCs w:val="28"/>
        </w:rPr>
        <w:t xml:space="preserve">? </w:t>
      </w:r>
    </w:p>
    <w:p w:rsidR="00840361" w:rsidRPr="00821285" w:rsidRDefault="00840361" w:rsidP="00E35818">
      <w:pPr>
        <w:pStyle w:val="ListParagraph"/>
        <w:numPr>
          <w:ilvl w:val="0"/>
          <w:numId w:val="35"/>
        </w:numPr>
        <w:tabs>
          <w:tab w:val="left" w:pos="720"/>
        </w:tabs>
        <w:spacing w:after="0" w:line="480" w:lineRule="auto"/>
        <w:ind w:left="0" w:firstLine="2160"/>
        <w:jc w:val="both"/>
        <w:rPr>
          <w:rFonts w:ascii="Times New Roman" w:eastAsia="Times New Roman" w:hAnsi="Times New Roman" w:cs="Times New Roman"/>
          <w:w w:val="106"/>
          <w:sz w:val="28"/>
          <w:szCs w:val="28"/>
        </w:rPr>
      </w:pPr>
      <w:r>
        <w:rPr>
          <w:rFonts w:ascii="Times New Roman" w:eastAsia="Times New Roman" w:hAnsi="Times New Roman" w:cs="Times New Roman"/>
          <w:w w:val="106"/>
          <w:sz w:val="28"/>
          <w:szCs w:val="28"/>
        </w:rPr>
        <w:t>T</w:t>
      </w:r>
      <w:r w:rsidRPr="00821285">
        <w:rPr>
          <w:rFonts w:ascii="Times New Roman" w:eastAsia="Times New Roman" w:hAnsi="Times New Roman" w:cs="Times New Roman"/>
          <w:w w:val="106"/>
          <w:sz w:val="28"/>
          <w:szCs w:val="28"/>
        </w:rPr>
        <w:t>his proposal should not impact the already existing incentive to pack as much wealth in tax-preferred accounts as you can, as quickly as you can.</w:t>
      </w:r>
    </w:p>
    <w:p w:rsidR="00840361" w:rsidRPr="00821285" w:rsidRDefault="00840361" w:rsidP="00E35818">
      <w:pPr>
        <w:pStyle w:val="ListParagraph"/>
        <w:numPr>
          <w:ilvl w:val="0"/>
          <w:numId w:val="35"/>
        </w:numPr>
        <w:tabs>
          <w:tab w:val="left" w:pos="720"/>
        </w:tabs>
        <w:spacing w:after="0" w:line="480" w:lineRule="auto"/>
        <w:ind w:left="0" w:firstLine="2160"/>
        <w:jc w:val="both"/>
        <w:rPr>
          <w:rFonts w:ascii="Times New Roman" w:eastAsia="Times New Roman" w:hAnsi="Times New Roman" w:cs="Times New Roman"/>
          <w:w w:val="106"/>
          <w:sz w:val="28"/>
          <w:szCs w:val="28"/>
        </w:rPr>
      </w:pPr>
      <w:r w:rsidRPr="00821285">
        <w:rPr>
          <w:rFonts w:ascii="Times New Roman" w:eastAsia="Times New Roman" w:hAnsi="Times New Roman" w:cs="Times New Roman"/>
          <w:w w:val="106"/>
          <w:sz w:val="28"/>
          <w:szCs w:val="28"/>
        </w:rPr>
        <w:t>However, it should be noted that if there is a cap in place, many small business owners will have much less incentive to continue to offer employee retirement plans to employees, once the small business owner himself or herself has reached the cap and is no longer able to contribute on his or her own behalf.</w:t>
      </w:r>
    </w:p>
    <w:p w:rsidR="00840361" w:rsidRPr="00821285" w:rsidRDefault="00840361" w:rsidP="00E35818">
      <w:pPr>
        <w:pStyle w:val="ListParagraph"/>
        <w:numPr>
          <w:ilvl w:val="0"/>
          <w:numId w:val="35"/>
        </w:numPr>
        <w:tabs>
          <w:tab w:val="left" w:pos="720"/>
        </w:tabs>
        <w:spacing w:after="0" w:line="480" w:lineRule="auto"/>
        <w:ind w:left="0" w:firstLine="2160"/>
        <w:jc w:val="both"/>
        <w:rPr>
          <w:rFonts w:ascii="Times New Roman" w:eastAsia="Times New Roman" w:hAnsi="Times New Roman" w:cs="Times New Roman"/>
          <w:w w:val="106"/>
          <w:sz w:val="28"/>
          <w:szCs w:val="28"/>
        </w:rPr>
      </w:pPr>
      <w:r w:rsidRPr="00821285">
        <w:rPr>
          <w:rFonts w:ascii="Times New Roman" w:eastAsia="Times New Roman" w:hAnsi="Times New Roman" w:cs="Times New Roman"/>
          <w:w w:val="106"/>
          <w:sz w:val="28"/>
          <w:szCs w:val="28"/>
        </w:rPr>
        <w:t>Once a person reaches the cap, what will be his or her further planning options?</w:t>
      </w:r>
    </w:p>
    <w:p w:rsidR="00840361" w:rsidRPr="00821285" w:rsidRDefault="00840361" w:rsidP="00814046">
      <w:pPr>
        <w:pStyle w:val="ListParagraph"/>
        <w:numPr>
          <w:ilvl w:val="0"/>
          <w:numId w:val="37"/>
        </w:numPr>
        <w:tabs>
          <w:tab w:val="left" w:pos="720"/>
          <w:tab w:val="left" w:pos="1440"/>
        </w:tabs>
        <w:spacing w:after="0" w:line="480" w:lineRule="auto"/>
        <w:ind w:left="0" w:firstLine="2880"/>
        <w:jc w:val="both"/>
        <w:rPr>
          <w:rFonts w:ascii="Times New Roman" w:eastAsia="Times New Roman" w:hAnsi="Times New Roman" w:cs="Times New Roman"/>
          <w:w w:val="106"/>
          <w:sz w:val="28"/>
          <w:szCs w:val="28"/>
        </w:rPr>
      </w:pPr>
      <w:r w:rsidRPr="00821285">
        <w:rPr>
          <w:rFonts w:ascii="Times New Roman" w:eastAsia="Times New Roman" w:hAnsi="Times New Roman" w:cs="Times New Roman"/>
          <w:w w:val="106"/>
          <w:sz w:val="28"/>
          <w:szCs w:val="28"/>
        </w:rPr>
        <w:t>Non-qualified annuities.</w:t>
      </w:r>
    </w:p>
    <w:p w:rsidR="00840361" w:rsidRPr="00821285" w:rsidRDefault="00840361" w:rsidP="00814046">
      <w:pPr>
        <w:pStyle w:val="ListParagraph"/>
        <w:numPr>
          <w:ilvl w:val="0"/>
          <w:numId w:val="37"/>
        </w:numPr>
        <w:tabs>
          <w:tab w:val="left" w:pos="720"/>
          <w:tab w:val="left" w:pos="1440"/>
        </w:tabs>
        <w:spacing w:after="0" w:line="480" w:lineRule="auto"/>
        <w:ind w:left="0" w:firstLine="2880"/>
        <w:jc w:val="both"/>
        <w:rPr>
          <w:rFonts w:ascii="Times New Roman" w:eastAsia="Times New Roman" w:hAnsi="Times New Roman" w:cs="Times New Roman"/>
          <w:w w:val="106"/>
          <w:sz w:val="28"/>
          <w:szCs w:val="28"/>
        </w:rPr>
      </w:pPr>
      <w:r w:rsidRPr="00821285">
        <w:rPr>
          <w:rFonts w:ascii="Times New Roman" w:eastAsia="Times New Roman" w:hAnsi="Times New Roman" w:cs="Times New Roman"/>
          <w:w w:val="106"/>
          <w:sz w:val="28"/>
          <w:szCs w:val="28"/>
        </w:rPr>
        <w:t>Whole life insurance with cash value accumulations.</w:t>
      </w:r>
    </w:p>
    <w:p w:rsidR="00840361" w:rsidRDefault="00840361" w:rsidP="00814046">
      <w:pPr>
        <w:pStyle w:val="ListParagraph"/>
        <w:numPr>
          <w:ilvl w:val="0"/>
          <w:numId w:val="37"/>
        </w:numPr>
        <w:tabs>
          <w:tab w:val="left" w:pos="720"/>
          <w:tab w:val="left" w:pos="1440"/>
        </w:tabs>
        <w:spacing w:after="0" w:line="480" w:lineRule="auto"/>
        <w:ind w:left="0" w:firstLine="2880"/>
        <w:jc w:val="both"/>
        <w:rPr>
          <w:rFonts w:ascii="Times New Roman" w:eastAsia="Times New Roman" w:hAnsi="Times New Roman" w:cs="Times New Roman"/>
          <w:w w:val="106"/>
          <w:sz w:val="28"/>
          <w:szCs w:val="28"/>
        </w:rPr>
      </w:pPr>
      <w:r w:rsidRPr="00821285">
        <w:rPr>
          <w:rFonts w:ascii="Times New Roman" w:eastAsia="Times New Roman" w:hAnsi="Times New Roman" w:cs="Times New Roman"/>
          <w:w w:val="106"/>
          <w:sz w:val="28"/>
          <w:szCs w:val="28"/>
        </w:rPr>
        <w:t>Other</w:t>
      </w:r>
      <w:r>
        <w:rPr>
          <w:rFonts w:ascii="Times New Roman" w:eastAsia="Times New Roman" w:hAnsi="Times New Roman" w:cs="Times New Roman"/>
          <w:w w:val="106"/>
          <w:sz w:val="28"/>
          <w:szCs w:val="28"/>
        </w:rPr>
        <w:t>s?</w:t>
      </w:r>
    </w:p>
    <w:p w:rsidR="00B05314" w:rsidRDefault="00717CB3" w:rsidP="00814046">
      <w:pPr>
        <w:pStyle w:val="Work1"/>
        <w:numPr>
          <w:ilvl w:val="0"/>
          <w:numId w:val="0"/>
        </w:numPr>
        <w:spacing w:after="0" w:line="480" w:lineRule="auto"/>
        <w:ind w:firstLine="720"/>
        <w:jc w:val="both"/>
        <w:rPr>
          <w:w w:val="106"/>
          <w:sz w:val="28"/>
          <w:szCs w:val="28"/>
        </w:rPr>
      </w:pPr>
      <w:r>
        <w:rPr>
          <w:w w:val="106"/>
          <w:sz w:val="28"/>
          <w:szCs w:val="28"/>
        </w:rPr>
        <w:t>X.</w:t>
      </w:r>
      <w:r>
        <w:rPr>
          <w:w w:val="106"/>
          <w:sz w:val="28"/>
          <w:szCs w:val="28"/>
        </w:rPr>
        <w:tab/>
      </w:r>
      <w:r w:rsidR="00820C1B">
        <w:rPr>
          <w:w w:val="106"/>
          <w:sz w:val="28"/>
          <w:szCs w:val="28"/>
        </w:rPr>
        <w:t>MYRAs</w:t>
      </w:r>
    </w:p>
    <w:p w:rsidR="00820C1B" w:rsidRDefault="00717CB3" w:rsidP="00814046">
      <w:pPr>
        <w:pStyle w:val="Work2"/>
        <w:numPr>
          <w:ilvl w:val="0"/>
          <w:numId w:val="0"/>
        </w:numPr>
        <w:spacing w:after="0" w:line="480" w:lineRule="auto"/>
        <w:ind w:firstLine="1440"/>
        <w:jc w:val="both"/>
        <w:rPr>
          <w:w w:val="106"/>
          <w:sz w:val="28"/>
          <w:szCs w:val="28"/>
        </w:rPr>
      </w:pPr>
      <w:r>
        <w:rPr>
          <w:w w:val="106"/>
          <w:sz w:val="28"/>
          <w:szCs w:val="28"/>
        </w:rPr>
        <w:t>A.</w:t>
      </w:r>
      <w:r>
        <w:rPr>
          <w:w w:val="106"/>
          <w:sz w:val="28"/>
          <w:szCs w:val="28"/>
        </w:rPr>
        <w:tab/>
      </w:r>
      <w:r w:rsidR="007727BC">
        <w:rPr>
          <w:w w:val="106"/>
          <w:sz w:val="28"/>
          <w:szCs w:val="28"/>
        </w:rPr>
        <w:t xml:space="preserve">In late 2014, United States Treasury announced that it will begin offering the </w:t>
      </w:r>
      <w:r w:rsidR="00D726D9">
        <w:rPr>
          <w:w w:val="106"/>
          <w:sz w:val="28"/>
          <w:szCs w:val="28"/>
        </w:rPr>
        <w:t>“</w:t>
      </w:r>
      <w:r w:rsidR="007727BC">
        <w:rPr>
          <w:w w:val="106"/>
          <w:sz w:val="28"/>
          <w:szCs w:val="28"/>
        </w:rPr>
        <w:t>myRAs</w:t>
      </w:r>
      <w:r w:rsidR="00D726D9">
        <w:rPr>
          <w:w w:val="106"/>
          <w:sz w:val="28"/>
          <w:szCs w:val="28"/>
        </w:rPr>
        <w:t>”</w:t>
      </w:r>
      <w:r w:rsidR="007727BC">
        <w:rPr>
          <w:w w:val="106"/>
          <w:sz w:val="28"/>
          <w:szCs w:val="28"/>
        </w:rPr>
        <w:t xml:space="preserve"> Program, providing individuals with a simple, safe </w:t>
      </w:r>
      <w:r w:rsidR="007727BC">
        <w:rPr>
          <w:w w:val="106"/>
          <w:sz w:val="28"/>
          <w:szCs w:val="28"/>
        </w:rPr>
        <w:lastRenderedPageBreak/>
        <w:t>and affordable way to start saving for retirement.  These myRAs will initially be offered through employers.</w:t>
      </w:r>
    </w:p>
    <w:p w:rsidR="007727BC" w:rsidRDefault="00717CB3" w:rsidP="00814046">
      <w:pPr>
        <w:pStyle w:val="Work2"/>
        <w:numPr>
          <w:ilvl w:val="0"/>
          <w:numId w:val="0"/>
        </w:numPr>
        <w:spacing w:after="0" w:line="480" w:lineRule="auto"/>
        <w:ind w:firstLine="1440"/>
        <w:jc w:val="both"/>
        <w:rPr>
          <w:w w:val="106"/>
          <w:sz w:val="28"/>
          <w:szCs w:val="28"/>
        </w:rPr>
      </w:pPr>
      <w:r>
        <w:rPr>
          <w:w w:val="106"/>
          <w:sz w:val="28"/>
          <w:szCs w:val="28"/>
        </w:rPr>
        <w:t>B.</w:t>
      </w:r>
      <w:r>
        <w:rPr>
          <w:w w:val="106"/>
          <w:sz w:val="28"/>
          <w:szCs w:val="28"/>
        </w:rPr>
        <w:tab/>
      </w:r>
      <w:r w:rsidR="007727BC">
        <w:rPr>
          <w:w w:val="106"/>
          <w:sz w:val="28"/>
          <w:szCs w:val="28"/>
        </w:rPr>
        <w:t>The key features of myRAs are as follows:</w:t>
      </w:r>
    </w:p>
    <w:p w:rsidR="007727BC" w:rsidRPr="007727BC" w:rsidRDefault="00717CB3" w:rsidP="00E35818">
      <w:pPr>
        <w:pStyle w:val="Work3"/>
        <w:numPr>
          <w:ilvl w:val="0"/>
          <w:numId w:val="0"/>
        </w:numPr>
        <w:spacing w:after="0" w:line="480" w:lineRule="auto"/>
        <w:ind w:firstLine="2160"/>
        <w:jc w:val="both"/>
        <w:rPr>
          <w:w w:val="106"/>
          <w:sz w:val="28"/>
          <w:szCs w:val="28"/>
        </w:rPr>
      </w:pPr>
      <w:r>
        <w:rPr>
          <w:w w:val="106"/>
          <w:sz w:val="28"/>
          <w:szCs w:val="28"/>
        </w:rPr>
        <w:t>1.</w:t>
      </w:r>
      <w:r>
        <w:rPr>
          <w:w w:val="106"/>
          <w:sz w:val="28"/>
          <w:szCs w:val="28"/>
        </w:rPr>
        <w:tab/>
      </w:r>
      <w:r w:rsidR="007727BC" w:rsidRPr="007727BC">
        <w:rPr>
          <w:w w:val="106"/>
          <w:sz w:val="28"/>
          <w:szCs w:val="28"/>
        </w:rPr>
        <w:t>As little as $25 can be used to open a myRA account.</w:t>
      </w:r>
    </w:p>
    <w:p w:rsidR="007727BC" w:rsidRPr="007727BC" w:rsidRDefault="00717CB3" w:rsidP="00E35818">
      <w:pPr>
        <w:pStyle w:val="Work3"/>
        <w:numPr>
          <w:ilvl w:val="0"/>
          <w:numId w:val="0"/>
        </w:numPr>
        <w:spacing w:after="0" w:line="480" w:lineRule="auto"/>
        <w:ind w:firstLine="2160"/>
        <w:jc w:val="both"/>
        <w:rPr>
          <w:w w:val="106"/>
          <w:sz w:val="28"/>
          <w:szCs w:val="28"/>
        </w:rPr>
      </w:pPr>
      <w:r>
        <w:rPr>
          <w:w w:val="106"/>
          <w:sz w:val="28"/>
          <w:szCs w:val="28"/>
        </w:rPr>
        <w:t>2.</w:t>
      </w:r>
      <w:r>
        <w:rPr>
          <w:w w:val="106"/>
          <w:sz w:val="28"/>
          <w:szCs w:val="28"/>
        </w:rPr>
        <w:tab/>
      </w:r>
      <w:r w:rsidR="007727BC" w:rsidRPr="007727BC">
        <w:rPr>
          <w:w w:val="106"/>
          <w:sz w:val="28"/>
          <w:szCs w:val="28"/>
        </w:rPr>
        <w:t xml:space="preserve">A participant may add to savings through a regular payroll direct deposit of </w:t>
      </w:r>
      <w:r w:rsidR="007727BC">
        <w:rPr>
          <w:w w:val="106"/>
          <w:sz w:val="28"/>
          <w:szCs w:val="28"/>
        </w:rPr>
        <w:t>Five Dollars (</w:t>
      </w:r>
      <w:r w:rsidR="007727BC" w:rsidRPr="007727BC">
        <w:rPr>
          <w:w w:val="106"/>
          <w:sz w:val="28"/>
          <w:szCs w:val="28"/>
        </w:rPr>
        <w:t>$5.00</w:t>
      </w:r>
      <w:r w:rsidR="007727BC">
        <w:rPr>
          <w:w w:val="106"/>
          <w:sz w:val="28"/>
          <w:szCs w:val="28"/>
        </w:rPr>
        <w:t>)</w:t>
      </w:r>
      <w:r w:rsidR="007727BC" w:rsidRPr="007727BC">
        <w:rPr>
          <w:w w:val="106"/>
          <w:sz w:val="28"/>
          <w:szCs w:val="28"/>
        </w:rPr>
        <w:t xml:space="preserve"> or more each pay day.</w:t>
      </w:r>
    </w:p>
    <w:p w:rsidR="007727BC" w:rsidRPr="007727BC" w:rsidRDefault="00717CB3" w:rsidP="00E35818">
      <w:pPr>
        <w:pStyle w:val="Work3"/>
        <w:numPr>
          <w:ilvl w:val="0"/>
          <w:numId w:val="0"/>
        </w:numPr>
        <w:spacing w:after="0" w:line="480" w:lineRule="auto"/>
        <w:ind w:firstLine="2160"/>
        <w:jc w:val="both"/>
        <w:rPr>
          <w:w w:val="106"/>
          <w:sz w:val="28"/>
          <w:szCs w:val="28"/>
        </w:rPr>
      </w:pPr>
      <w:r>
        <w:rPr>
          <w:w w:val="106"/>
          <w:sz w:val="28"/>
          <w:szCs w:val="28"/>
        </w:rPr>
        <w:t>3.</w:t>
      </w:r>
      <w:r>
        <w:rPr>
          <w:w w:val="106"/>
          <w:sz w:val="28"/>
          <w:szCs w:val="28"/>
        </w:rPr>
        <w:tab/>
      </w:r>
      <w:r w:rsidR="007727BC" w:rsidRPr="007727BC">
        <w:rPr>
          <w:w w:val="106"/>
          <w:sz w:val="28"/>
          <w:szCs w:val="28"/>
        </w:rPr>
        <w:t>No fees are involved.</w:t>
      </w:r>
    </w:p>
    <w:p w:rsidR="007727BC" w:rsidRPr="007727BC" w:rsidRDefault="00717CB3" w:rsidP="00E35818">
      <w:pPr>
        <w:pStyle w:val="Work3"/>
        <w:numPr>
          <w:ilvl w:val="0"/>
          <w:numId w:val="0"/>
        </w:numPr>
        <w:spacing w:after="0" w:line="480" w:lineRule="auto"/>
        <w:ind w:firstLine="2160"/>
        <w:jc w:val="both"/>
        <w:rPr>
          <w:w w:val="106"/>
          <w:sz w:val="28"/>
          <w:szCs w:val="28"/>
        </w:rPr>
      </w:pPr>
      <w:r>
        <w:rPr>
          <w:w w:val="106"/>
          <w:sz w:val="28"/>
          <w:szCs w:val="28"/>
        </w:rPr>
        <w:t>4.</w:t>
      </w:r>
      <w:r>
        <w:rPr>
          <w:w w:val="106"/>
          <w:sz w:val="28"/>
          <w:szCs w:val="28"/>
        </w:rPr>
        <w:tab/>
      </w:r>
      <w:r w:rsidR="00D726D9">
        <w:rPr>
          <w:w w:val="106"/>
          <w:sz w:val="28"/>
          <w:szCs w:val="28"/>
        </w:rPr>
        <w:t>M</w:t>
      </w:r>
      <w:r w:rsidR="007727BC" w:rsidRPr="007727BC">
        <w:rPr>
          <w:w w:val="106"/>
          <w:sz w:val="28"/>
          <w:szCs w:val="28"/>
        </w:rPr>
        <w:t>yRAs will earn interest at the same variable rate as the Government Securities Investment Fund in the Thrift Savings Plan for federal employees.</w:t>
      </w:r>
    </w:p>
    <w:p w:rsidR="007727BC" w:rsidRPr="007727BC" w:rsidRDefault="00717CB3" w:rsidP="00E35818">
      <w:pPr>
        <w:pStyle w:val="Work3"/>
        <w:numPr>
          <w:ilvl w:val="0"/>
          <w:numId w:val="0"/>
        </w:numPr>
        <w:spacing w:after="0" w:line="480" w:lineRule="auto"/>
        <w:ind w:firstLine="2160"/>
        <w:jc w:val="both"/>
        <w:rPr>
          <w:w w:val="106"/>
          <w:sz w:val="28"/>
          <w:szCs w:val="28"/>
        </w:rPr>
      </w:pPr>
      <w:r>
        <w:rPr>
          <w:w w:val="106"/>
          <w:sz w:val="28"/>
          <w:szCs w:val="28"/>
        </w:rPr>
        <w:t>5.</w:t>
      </w:r>
      <w:r>
        <w:rPr>
          <w:w w:val="106"/>
          <w:sz w:val="28"/>
          <w:szCs w:val="28"/>
        </w:rPr>
        <w:tab/>
      </w:r>
      <w:r w:rsidR="00D726D9">
        <w:rPr>
          <w:w w:val="106"/>
          <w:sz w:val="28"/>
          <w:szCs w:val="28"/>
        </w:rPr>
        <w:t>M</w:t>
      </w:r>
      <w:r w:rsidR="007727BC" w:rsidRPr="007727BC">
        <w:rPr>
          <w:w w:val="106"/>
          <w:sz w:val="28"/>
          <w:szCs w:val="28"/>
        </w:rPr>
        <w:t>yRAs will not be limited to one employer, and therefore the participant’s account is portable to later employers.</w:t>
      </w:r>
    </w:p>
    <w:p w:rsidR="007727BC" w:rsidRDefault="00717CB3" w:rsidP="00E35818">
      <w:pPr>
        <w:pStyle w:val="Work3"/>
        <w:numPr>
          <w:ilvl w:val="0"/>
          <w:numId w:val="0"/>
        </w:numPr>
        <w:spacing w:after="0" w:line="480" w:lineRule="auto"/>
        <w:ind w:firstLine="2160"/>
        <w:jc w:val="both"/>
        <w:rPr>
          <w:w w:val="106"/>
          <w:sz w:val="28"/>
          <w:szCs w:val="28"/>
        </w:rPr>
      </w:pPr>
      <w:r>
        <w:rPr>
          <w:w w:val="106"/>
          <w:sz w:val="28"/>
          <w:szCs w:val="28"/>
        </w:rPr>
        <w:t>6.</w:t>
      </w:r>
      <w:r>
        <w:rPr>
          <w:w w:val="106"/>
          <w:sz w:val="28"/>
          <w:szCs w:val="28"/>
        </w:rPr>
        <w:tab/>
      </w:r>
      <w:r w:rsidR="00D726D9">
        <w:rPr>
          <w:w w:val="106"/>
          <w:sz w:val="28"/>
          <w:szCs w:val="28"/>
        </w:rPr>
        <w:t>M</w:t>
      </w:r>
      <w:r w:rsidR="007727BC" w:rsidRPr="007727BC">
        <w:rPr>
          <w:w w:val="106"/>
          <w:sz w:val="28"/>
          <w:szCs w:val="28"/>
        </w:rPr>
        <w:t>yRA contribu</w:t>
      </w:r>
      <w:r w:rsidR="007727BC">
        <w:rPr>
          <w:w w:val="106"/>
          <w:sz w:val="28"/>
          <w:szCs w:val="28"/>
        </w:rPr>
        <w:t>tions can be withdrawn tax-free, and earnings can be withdrawn tax-free after five (5) years if the participant is 59½ years old.</w:t>
      </w:r>
    </w:p>
    <w:p w:rsidR="003D3198" w:rsidRDefault="00717CB3" w:rsidP="00E35818">
      <w:pPr>
        <w:pStyle w:val="Work3"/>
        <w:numPr>
          <w:ilvl w:val="0"/>
          <w:numId w:val="0"/>
        </w:numPr>
        <w:spacing w:after="0" w:line="480" w:lineRule="auto"/>
        <w:ind w:firstLine="2160"/>
        <w:jc w:val="both"/>
        <w:rPr>
          <w:w w:val="106"/>
          <w:sz w:val="28"/>
          <w:szCs w:val="28"/>
        </w:rPr>
      </w:pPr>
      <w:r>
        <w:rPr>
          <w:w w:val="106"/>
          <w:sz w:val="28"/>
          <w:szCs w:val="28"/>
        </w:rPr>
        <w:t>7.</w:t>
      </w:r>
      <w:r>
        <w:rPr>
          <w:w w:val="106"/>
          <w:sz w:val="28"/>
          <w:szCs w:val="28"/>
        </w:rPr>
        <w:tab/>
      </w:r>
      <w:r w:rsidR="003D3198">
        <w:rPr>
          <w:w w:val="106"/>
          <w:sz w:val="28"/>
          <w:szCs w:val="28"/>
        </w:rPr>
        <w:t>Participants can build savings for thirty (30) years or until their myRA reaches Fifteen Thousand Dollars ($15,000), whichever comes first.  After that, the myRA balances will transfer to private sector Roth IRAs.</w:t>
      </w:r>
    </w:p>
    <w:p w:rsidR="003D3198" w:rsidRPr="007727BC" w:rsidRDefault="00BC5D02" w:rsidP="00E35818">
      <w:pPr>
        <w:pStyle w:val="Work3"/>
        <w:numPr>
          <w:ilvl w:val="0"/>
          <w:numId w:val="0"/>
        </w:numPr>
        <w:spacing w:after="0" w:line="480" w:lineRule="auto"/>
        <w:ind w:firstLine="2160"/>
        <w:jc w:val="both"/>
        <w:rPr>
          <w:w w:val="106"/>
          <w:sz w:val="28"/>
          <w:szCs w:val="28"/>
        </w:rPr>
      </w:pPr>
      <w:r>
        <w:rPr>
          <w:w w:val="106"/>
          <w:sz w:val="28"/>
          <w:szCs w:val="28"/>
        </w:rPr>
        <w:lastRenderedPageBreak/>
        <w:t>8.</w:t>
      </w:r>
      <w:r>
        <w:rPr>
          <w:w w:val="106"/>
          <w:sz w:val="28"/>
          <w:szCs w:val="28"/>
        </w:rPr>
        <w:tab/>
      </w:r>
      <w:r w:rsidR="003D3198">
        <w:rPr>
          <w:w w:val="106"/>
          <w:sz w:val="28"/>
          <w:szCs w:val="28"/>
        </w:rPr>
        <w:t>Employers will not be required to make myRAs accounts available to their employees.</w:t>
      </w:r>
    </w:p>
    <w:p w:rsidR="00840361" w:rsidRPr="00E15A43" w:rsidRDefault="00BC5D02" w:rsidP="00814046">
      <w:pPr>
        <w:pStyle w:val="Work1"/>
        <w:numPr>
          <w:ilvl w:val="0"/>
          <w:numId w:val="0"/>
        </w:numPr>
        <w:spacing w:line="480" w:lineRule="auto"/>
        <w:ind w:firstLine="720"/>
        <w:jc w:val="both"/>
        <w:rPr>
          <w:w w:val="106"/>
          <w:sz w:val="28"/>
          <w:szCs w:val="28"/>
        </w:rPr>
      </w:pPr>
      <w:r>
        <w:rPr>
          <w:w w:val="106"/>
          <w:sz w:val="28"/>
          <w:szCs w:val="28"/>
        </w:rPr>
        <w:t>XI.</w:t>
      </w:r>
      <w:r>
        <w:rPr>
          <w:w w:val="106"/>
          <w:sz w:val="28"/>
          <w:szCs w:val="28"/>
        </w:rPr>
        <w:tab/>
      </w:r>
      <w:r w:rsidR="00840361" w:rsidRPr="00E15A43">
        <w:rPr>
          <w:w w:val="106"/>
          <w:sz w:val="28"/>
          <w:szCs w:val="28"/>
        </w:rPr>
        <w:t>OTHER RECENT LEGISLATIVE PROPOSALS AFFECTING ESTATE PLANNING FOR RETIREMENT ASSETS</w:t>
      </w:r>
    </w:p>
    <w:p w:rsidR="00840361" w:rsidRPr="00430792" w:rsidRDefault="00BD06C1" w:rsidP="00814046">
      <w:pPr>
        <w:pStyle w:val="Work2"/>
        <w:numPr>
          <w:ilvl w:val="0"/>
          <w:numId w:val="0"/>
        </w:numPr>
        <w:spacing w:line="480" w:lineRule="auto"/>
        <w:ind w:firstLine="1440"/>
        <w:jc w:val="both"/>
        <w:rPr>
          <w:w w:val="106"/>
          <w:sz w:val="28"/>
          <w:szCs w:val="28"/>
        </w:rPr>
      </w:pPr>
      <w:r>
        <w:rPr>
          <w:w w:val="106"/>
          <w:sz w:val="28"/>
          <w:szCs w:val="28"/>
        </w:rPr>
        <w:t>A.</w:t>
      </w:r>
      <w:r>
        <w:rPr>
          <w:w w:val="106"/>
          <w:sz w:val="28"/>
          <w:szCs w:val="28"/>
        </w:rPr>
        <w:tab/>
      </w:r>
      <w:r w:rsidR="00840361" w:rsidRPr="00430792">
        <w:rPr>
          <w:w w:val="106"/>
          <w:sz w:val="28"/>
          <w:szCs w:val="28"/>
        </w:rPr>
        <w:t>Requiring distributions from Roth IRAs.</w:t>
      </w:r>
    </w:p>
    <w:p w:rsidR="00840361" w:rsidRPr="00430792" w:rsidRDefault="00BD06C1" w:rsidP="00E35818">
      <w:pPr>
        <w:pStyle w:val="Work3"/>
        <w:numPr>
          <w:ilvl w:val="0"/>
          <w:numId w:val="0"/>
        </w:numPr>
        <w:spacing w:line="480" w:lineRule="auto"/>
        <w:ind w:firstLine="2160"/>
        <w:jc w:val="both"/>
        <w:rPr>
          <w:w w:val="106"/>
          <w:sz w:val="28"/>
          <w:szCs w:val="28"/>
        </w:rPr>
      </w:pPr>
      <w:r>
        <w:rPr>
          <w:w w:val="106"/>
          <w:sz w:val="28"/>
          <w:szCs w:val="28"/>
        </w:rPr>
        <w:t>1.</w:t>
      </w:r>
      <w:r>
        <w:rPr>
          <w:w w:val="106"/>
          <w:sz w:val="28"/>
          <w:szCs w:val="28"/>
        </w:rPr>
        <w:tab/>
      </w:r>
      <w:r w:rsidR="00840361" w:rsidRPr="00430792">
        <w:rPr>
          <w:w w:val="106"/>
          <w:sz w:val="28"/>
          <w:szCs w:val="28"/>
        </w:rPr>
        <w:t>Under current law, an IRA owner need not take distributions from a Roth IRA after attaining age 70½.</w:t>
      </w:r>
    </w:p>
    <w:p w:rsidR="00840361" w:rsidRPr="00430792" w:rsidRDefault="00BD06C1" w:rsidP="00E35818">
      <w:pPr>
        <w:pStyle w:val="Work3"/>
        <w:numPr>
          <w:ilvl w:val="0"/>
          <w:numId w:val="0"/>
        </w:numPr>
        <w:spacing w:line="480" w:lineRule="auto"/>
        <w:ind w:firstLine="2160"/>
        <w:jc w:val="both"/>
        <w:rPr>
          <w:w w:val="106"/>
          <w:sz w:val="28"/>
          <w:szCs w:val="28"/>
        </w:rPr>
      </w:pPr>
      <w:r>
        <w:rPr>
          <w:w w:val="106"/>
          <w:sz w:val="28"/>
          <w:szCs w:val="28"/>
        </w:rPr>
        <w:t>2.</w:t>
      </w:r>
      <w:r>
        <w:rPr>
          <w:w w:val="106"/>
          <w:sz w:val="28"/>
          <w:szCs w:val="28"/>
        </w:rPr>
        <w:tab/>
      </w:r>
      <w:r w:rsidR="00840361" w:rsidRPr="00430792">
        <w:rPr>
          <w:w w:val="106"/>
          <w:sz w:val="28"/>
          <w:szCs w:val="28"/>
        </w:rPr>
        <w:t xml:space="preserve">The Obama administration proposes to require Roth IRA owners to take distributions from Roth IRAs after attaining 70½, in the same manner as is </w:t>
      </w:r>
      <w:r w:rsidR="00840361">
        <w:rPr>
          <w:w w:val="106"/>
          <w:sz w:val="28"/>
          <w:szCs w:val="28"/>
        </w:rPr>
        <w:t xml:space="preserve">currently </w:t>
      </w:r>
      <w:r w:rsidR="00840361" w:rsidRPr="00430792">
        <w:rPr>
          <w:w w:val="106"/>
          <w:sz w:val="28"/>
          <w:szCs w:val="28"/>
        </w:rPr>
        <w:t>the case for traditional IRAs.</w:t>
      </w:r>
    </w:p>
    <w:p w:rsidR="00840361" w:rsidRPr="00430792" w:rsidRDefault="00BD06C1" w:rsidP="00E35818">
      <w:pPr>
        <w:pStyle w:val="Work3"/>
        <w:numPr>
          <w:ilvl w:val="0"/>
          <w:numId w:val="0"/>
        </w:numPr>
        <w:spacing w:line="480" w:lineRule="auto"/>
        <w:ind w:firstLine="2160"/>
        <w:jc w:val="both"/>
        <w:rPr>
          <w:w w:val="106"/>
          <w:sz w:val="28"/>
          <w:szCs w:val="28"/>
        </w:rPr>
      </w:pPr>
      <w:r>
        <w:rPr>
          <w:w w:val="106"/>
          <w:sz w:val="28"/>
          <w:szCs w:val="28"/>
        </w:rPr>
        <w:t>3.</w:t>
      </w:r>
      <w:r>
        <w:rPr>
          <w:w w:val="106"/>
          <w:sz w:val="28"/>
          <w:szCs w:val="28"/>
        </w:rPr>
        <w:tab/>
      </w:r>
      <w:r w:rsidR="00840361" w:rsidRPr="00430792">
        <w:rPr>
          <w:w w:val="106"/>
          <w:sz w:val="28"/>
          <w:szCs w:val="28"/>
        </w:rPr>
        <w:t>This proposal, if enacted, would be effective for taxpayers attaining 70½ after December 31, 201</w:t>
      </w:r>
      <w:r w:rsidR="008741F9">
        <w:rPr>
          <w:w w:val="106"/>
          <w:sz w:val="28"/>
          <w:szCs w:val="28"/>
        </w:rPr>
        <w:t>6</w:t>
      </w:r>
      <w:r w:rsidR="00840361" w:rsidRPr="00430792">
        <w:rPr>
          <w:w w:val="106"/>
          <w:sz w:val="28"/>
          <w:szCs w:val="28"/>
        </w:rPr>
        <w:t>.</w:t>
      </w:r>
    </w:p>
    <w:p w:rsidR="00840361" w:rsidRPr="00430792" w:rsidRDefault="001D3A47" w:rsidP="00814046">
      <w:pPr>
        <w:pStyle w:val="Work2"/>
        <w:numPr>
          <w:ilvl w:val="0"/>
          <w:numId w:val="0"/>
        </w:numPr>
        <w:spacing w:line="480" w:lineRule="auto"/>
        <w:ind w:firstLine="1440"/>
        <w:jc w:val="both"/>
        <w:rPr>
          <w:w w:val="106"/>
          <w:sz w:val="28"/>
          <w:szCs w:val="28"/>
        </w:rPr>
      </w:pPr>
      <w:r>
        <w:rPr>
          <w:w w:val="106"/>
          <w:sz w:val="28"/>
          <w:szCs w:val="28"/>
        </w:rPr>
        <w:t>B.</w:t>
      </w:r>
      <w:r>
        <w:rPr>
          <w:w w:val="106"/>
          <w:sz w:val="28"/>
          <w:szCs w:val="28"/>
        </w:rPr>
        <w:tab/>
      </w:r>
      <w:r w:rsidR="00840361" w:rsidRPr="00430792">
        <w:rPr>
          <w:w w:val="106"/>
          <w:sz w:val="28"/>
          <w:szCs w:val="28"/>
        </w:rPr>
        <w:t>Sixty (60) day rollover for inherited retirement benefits.</w:t>
      </w:r>
    </w:p>
    <w:p w:rsidR="00840361" w:rsidRPr="00430792" w:rsidRDefault="001D3A47" w:rsidP="00E35818">
      <w:pPr>
        <w:pStyle w:val="Work3"/>
        <w:numPr>
          <w:ilvl w:val="0"/>
          <w:numId w:val="0"/>
        </w:numPr>
        <w:spacing w:line="480" w:lineRule="auto"/>
        <w:ind w:firstLine="2160"/>
        <w:jc w:val="both"/>
        <w:rPr>
          <w:w w:val="106"/>
          <w:sz w:val="28"/>
          <w:szCs w:val="28"/>
        </w:rPr>
      </w:pPr>
      <w:r>
        <w:rPr>
          <w:w w:val="106"/>
          <w:sz w:val="28"/>
          <w:szCs w:val="28"/>
        </w:rPr>
        <w:t>1.</w:t>
      </w:r>
      <w:r>
        <w:rPr>
          <w:w w:val="106"/>
          <w:sz w:val="28"/>
          <w:szCs w:val="28"/>
        </w:rPr>
        <w:tab/>
      </w:r>
      <w:r w:rsidR="00840361">
        <w:rPr>
          <w:w w:val="106"/>
          <w:sz w:val="28"/>
          <w:szCs w:val="28"/>
        </w:rPr>
        <w:t>As discussed earlier, while a</w:t>
      </w:r>
      <w:r w:rsidR="00840361" w:rsidRPr="00430792">
        <w:rPr>
          <w:w w:val="106"/>
          <w:sz w:val="28"/>
          <w:szCs w:val="28"/>
        </w:rPr>
        <w:t xml:space="preserve"> participant, IRA owner or spousal beneficiary may take distributions of qualified plan or IRA assets and roll them over into another qualified plan or IRA within sixty (60) days of such distribution</w:t>
      </w:r>
      <w:r w:rsidR="00840361">
        <w:rPr>
          <w:w w:val="106"/>
          <w:sz w:val="28"/>
          <w:szCs w:val="28"/>
        </w:rPr>
        <w:t xml:space="preserve">, </w:t>
      </w:r>
      <w:r w:rsidR="00840361" w:rsidRPr="00430792">
        <w:rPr>
          <w:w w:val="106"/>
          <w:sz w:val="28"/>
          <w:szCs w:val="28"/>
        </w:rPr>
        <w:t xml:space="preserve">any other </w:t>
      </w:r>
      <w:r w:rsidR="00840361">
        <w:rPr>
          <w:w w:val="106"/>
          <w:sz w:val="28"/>
          <w:szCs w:val="28"/>
        </w:rPr>
        <w:t xml:space="preserve">non-spousal </w:t>
      </w:r>
      <w:r w:rsidR="00840361" w:rsidRPr="00430792">
        <w:rPr>
          <w:w w:val="106"/>
          <w:sz w:val="28"/>
          <w:szCs w:val="28"/>
        </w:rPr>
        <w:t xml:space="preserve">beneficiary </w:t>
      </w:r>
      <w:r w:rsidR="00840361">
        <w:rPr>
          <w:w w:val="106"/>
          <w:sz w:val="28"/>
          <w:szCs w:val="28"/>
        </w:rPr>
        <w:t xml:space="preserve">is prohibited from </w:t>
      </w:r>
      <w:r w:rsidR="00840361" w:rsidRPr="00430792">
        <w:rPr>
          <w:w w:val="106"/>
          <w:sz w:val="28"/>
          <w:szCs w:val="28"/>
        </w:rPr>
        <w:t>do</w:t>
      </w:r>
      <w:r w:rsidR="00840361">
        <w:rPr>
          <w:w w:val="106"/>
          <w:sz w:val="28"/>
          <w:szCs w:val="28"/>
        </w:rPr>
        <w:t>ing</w:t>
      </w:r>
      <w:r w:rsidR="00840361" w:rsidRPr="00430792">
        <w:rPr>
          <w:w w:val="106"/>
          <w:sz w:val="28"/>
          <w:szCs w:val="28"/>
        </w:rPr>
        <w:t xml:space="preserve"> such a rollover, but may do a direct trustee</w:t>
      </w:r>
      <w:r w:rsidR="00840361">
        <w:rPr>
          <w:w w:val="106"/>
          <w:sz w:val="28"/>
          <w:szCs w:val="28"/>
        </w:rPr>
        <w:t>-</w:t>
      </w:r>
      <w:r w:rsidR="00840361" w:rsidRPr="00430792">
        <w:rPr>
          <w:w w:val="106"/>
          <w:sz w:val="28"/>
          <w:szCs w:val="28"/>
        </w:rPr>
        <w:t>to</w:t>
      </w:r>
      <w:r w:rsidR="00840361">
        <w:rPr>
          <w:w w:val="106"/>
          <w:sz w:val="28"/>
          <w:szCs w:val="28"/>
        </w:rPr>
        <w:t>-</w:t>
      </w:r>
      <w:r w:rsidR="00840361" w:rsidRPr="00430792">
        <w:rPr>
          <w:w w:val="106"/>
          <w:sz w:val="28"/>
          <w:szCs w:val="28"/>
        </w:rPr>
        <w:t>trustee transfer.</w:t>
      </w:r>
    </w:p>
    <w:p w:rsidR="00840361" w:rsidRPr="00430792" w:rsidRDefault="00561856" w:rsidP="00E35818">
      <w:pPr>
        <w:pStyle w:val="Work3"/>
        <w:numPr>
          <w:ilvl w:val="0"/>
          <w:numId w:val="0"/>
        </w:numPr>
        <w:spacing w:line="480" w:lineRule="auto"/>
        <w:ind w:firstLine="2160"/>
        <w:jc w:val="both"/>
        <w:rPr>
          <w:w w:val="106"/>
          <w:sz w:val="28"/>
          <w:szCs w:val="28"/>
        </w:rPr>
      </w:pPr>
      <w:r>
        <w:rPr>
          <w:w w:val="106"/>
          <w:sz w:val="28"/>
          <w:szCs w:val="28"/>
        </w:rPr>
        <w:lastRenderedPageBreak/>
        <w:t>2.</w:t>
      </w:r>
      <w:r>
        <w:rPr>
          <w:w w:val="106"/>
          <w:sz w:val="28"/>
          <w:szCs w:val="28"/>
        </w:rPr>
        <w:tab/>
      </w:r>
      <w:r w:rsidR="00840361" w:rsidRPr="00430792">
        <w:rPr>
          <w:w w:val="106"/>
          <w:sz w:val="28"/>
          <w:szCs w:val="28"/>
        </w:rPr>
        <w:t>The Obama administration proposes to permit non-spousal beneficiaries to roll over distributions to an inherited IRA within sixty (60) days of receipt, effective for distributions after 2015.</w:t>
      </w:r>
    </w:p>
    <w:p w:rsidR="00840361" w:rsidRPr="00430792" w:rsidRDefault="00561856" w:rsidP="00814046">
      <w:pPr>
        <w:pStyle w:val="Work2"/>
        <w:numPr>
          <w:ilvl w:val="0"/>
          <w:numId w:val="0"/>
        </w:numPr>
        <w:spacing w:line="480" w:lineRule="auto"/>
        <w:ind w:firstLine="1440"/>
        <w:jc w:val="both"/>
        <w:rPr>
          <w:w w:val="106"/>
          <w:sz w:val="28"/>
          <w:szCs w:val="28"/>
        </w:rPr>
      </w:pPr>
      <w:r>
        <w:rPr>
          <w:w w:val="106"/>
          <w:sz w:val="28"/>
          <w:szCs w:val="28"/>
        </w:rPr>
        <w:t>C.</w:t>
      </w:r>
      <w:r>
        <w:rPr>
          <w:w w:val="106"/>
          <w:sz w:val="28"/>
          <w:szCs w:val="28"/>
        </w:rPr>
        <w:tab/>
      </w:r>
      <w:r w:rsidR="00840361" w:rsidRPr="00430792">
        <w:rPr>
          <w:w w:val="106"/>
          <w:sz w:val="28"/>
          <w:szCs w:val="28"/>
        </w:rPr>
        <w:t>Limiting Roth conversions to pre-tax dollars.</w:t>
      </w:r>
    </w:p>
    <w:p w:rsidR="00840361" w:rsidRPr="00430792" w:rsidRDefault="00561856" w:rsidP="00E35818">
      <w:pPr>
        <w:pStyle w:val="Work3"/>
        <w:numPr>
          <w:ilvl w:val="0"/>
          <w:numId w:val="0"/>
        </w:numPr>
        <w:spacing w:line="480" w:lineRule="auto"/>
        <w:ind w:firstLine="2160"/>
        <w:jc w:val="both"/>
        <w:rPr>
          <w:w w:val="106"/>
          <w:sz w:val="28"/>
          <w:szCs w:val="28"/>
        </w:rPr>
      </w:pPr>
      <w:r>
        <w:rPr>
          <w:w w:val="106"/>
          <w:sz w:val="28"/>
          <w:szCs w:val="28"/>
        </w:rPr>
        <w:t>1.</w:t>
      </w:r>
      <w:r>
        <w:rPr>
          <w:w w:val="106"/>
          <w:sz w:val="28"/>
          <w:szCs w:val="28"/>
        </w:rPr>
        <w:tab/>
      </w:r>
      <w:r w:rsidR="00840361" w:rsidRPr="00430792">
        <w:rPr>
          <w:w w:val="106"/>
          <w:sz w:val="28"/>
          <w:szCs w:val="28"/>
        </w:rPr>
        <w:t>The Obama administration proposes to permit Roth IRA conversions only to the extent that distributions would be includable in income if they were not rolled over.  The after-tax amounts attributable to “basis” held in a qualified plan or traditional IRA could not be converted to a Roth IRA.</w:t>
      </w:r>
    </w:p>
    <w:p w:rsidR="00840361" w:rsidRPr="00430792" w:rsidRDefault="00561856" w:rsidP="00E35818">
      <w:pPr>
        <w:pStyle w:val="Work3"/>
        <w:numPr>
          <w:ilvl w:val="0"/>
          <w:numId w:val="0"/>
        </w:numPr>
        <w:spacing w:line="480" w:lineRule="auto"/>
        <w:ind w:firstLine="2160"/>
        <w:jc w:val="both"/>
        <w:rPr>
          <w:w w:val="106"/>
          <w:sz w:val="28"/>
          <w:szCs w:val="28"/>
        </w:rPr>
      </w:pPr>
      <w:r>
        <w:rPr>
          <w:w w:val="106"/>
          <w:sz w:val="28"/>
          <w:szCs w:val="28"/>
        </w:rPr>
        <w:t>2.</w:t>
      </w:r>
      <w:r>
        <w:rPr>
          <w:w w:val="106"/>
          <w:sz w:val="28"/>
          <w:szCs w:val="28"/>
        </w:rPr>
        <w:tab/>
      </w:r>
      <w:r w:rsidR="00840361" w:rsidRPr="00430792">
        <w:rPr>
          <w:w w:val="106"/>
          <w:sz w:val="28"/>
          <w:szCs w:val="28"/>
        </w:rPr>
        <w:t>This proposal, if enacted, would be effective beginning on January 1, 20</w:t>
      </w:r>
      <w:r w:rsidR="008741F9">
        <w:rPr>
          <w:w w:val="106"/>
          <w:sz w:val="28"/>
          <w:szCs w:val="28"/>
        </w:rPr>
        <w:t>17</w:t>
      </w:r>
      <w:r w:rsidR="00840361" w:rsidRPr="00430792">
        <w:rPr>
          <w:w w:val="106"/>
          <w:sz w:val="28"/>
          <w:szCs w:val="28"/>
        </w:rPr>
        <w:t>.</w:t>
      </w:r>
    </w:p>
    <w:p w:rsidR="00840361" w:rsidRPr="00430792" w:rsidRDefault="00561856" w:rsidP="00814046">
      <w:pPr>
        <w:pStyle w:val="Work2"/>
        <w:numPr>
          <w:ilvl w:val="0"/>
          <w:numId w:val="0"/>
        </w:numPr>
        <w:spacing w:line="480" w:lineRule="auto"/>
        <w:ind w:firstLine="1440"/>
        <w:jc w:val="both"/>
        <w:rPr>
          <w:w w:val="106"/>
          <w:sz w:val="28"/>
          <w:szCs w:val="28"/>
        </w:rPr>
      </w:pPr>
      <w:r>
        <w:rPr>
          <w:w w:val="106"/>
          <w:sz w:val="28"/>
          <w:szCs w:val="28"/>
        </w:rPr>
        <w:t>D.</w:t>
      </w:r>
      <w:r>
        <w:rPr>
          <w:w w:val="106"/>
          <w:sz w:val="28"/>
          <w:szCs w:val="28"/>
        </w:rPr>
        <w:tab/>
      </w:r>
      <w:r w:rsidR="00840361" w:rsidRPr="00430792">
        <w:rPr>
          <w:w w:val="106"/>
          <w:sz w:val="28"/>
          <w:szCs w:val="28"/>
        </w:rPr>
        <w:t>Repeal of the exclusion of net unrealized appreciation in employer securities.</w:t>
      </w:r>
    </w:p>
    <w:p w:rsidR="00840361" w:rsidRPr="00430792" w:rsidRDefault="00561856" w:rsidP="00E35818">
      <w:pPr>
        <w:pStyle w:val="Work3"/>
        <w:numPr>
          <w:ilvl w:val="0"/>
          <w:numId w:val="0"/>
        </w:numPr>
        <w:spacing w:line="480" w:lineRule="auto"/>
        <w:ind w:firstLine="2160"/>
        <w:jc w:val="both"/>
        <w:rPr>
          <w:w w:val="106"/>
          <w:sz w:val="28"/>
          <w:szCs w:val="28"/>
        </w:rPr>
      </w:pPr>
      <w:r>
        <w:rPr>
          <w:w w:val="106"/>
          <w:sz w:val="28"/>
          <w:szCs w:val="28"/>
        </w:rPr>
        <w:t>1.</w:t>
      </w:r>
      <w:r>
        <w:rPr>
          <w:w w:val="106"/>
          <w:sz w:val="28"/>
          <w:szCs w:val="28"/>
        </w:rPr>
        <w:tab/>
      </w:r>
      <w:r w:rsidR="00840361" w:rsidRPr="00430792">
        <w:rPr>
          <w:w w:val="106"/>
          <w:sz w:val="28"/>
          <w:szCs w:val="28"/>
        </w:rPr>
        <w:t>As noted earlier in this outline, in the case of a distribution of employer stock as part of a lump sum distribution, the participant can exclude the amount of the net unrealized appreciation.  Instead, net unrealized appreciation in such stock is currently taxed as a capital gain when the recipient ultimately sells such stock.</w:t>
      </w:r>
    </w:p>
    <w:p w:rsidR="00840361" w:rsidRPr="00430792" w:rsidRDefault="00561856" w:rsidP="00E35818">
      <w:pPr>
        <w:pStyle w:val="Work3"/>
        <w:numPr>
          <w:ilvl w:val="0"/>
          <w:numId w:val="0"/>
        </w:numPr>
        <w:spacing w:line="480" w:lineRule="auto"/>
        <w:ind w:firstLine="2160"/>
        <w:jc w:val="both"/>
        <w:rPr>
          <w:w w:val="106"/>
          <w:sz w:val="28"/>
          <w:szCs w:val="28"/>
        </w:rPr>
      </w:pPr>
      <w:r>
        <w:rPr>
          <w:w w:val="106"/>
          <w:sz w:val="28"/>
          <w:szCs w:val="28"/>
        </w:rPr>
        <w:lastRenderedPageBreak/>
        <w:t>2.</w:t>
      </w:r>
      <w:r>
        <w:rPr>
          <w:w w:val="106"/>
          <w:sz w:val="28"/>
          <w:szCs w:val="28"/>
        </w:rPr>
        <w:tab/>
      </w:r>
      <w:r w:rsidR="00840361" w:rsidRPr="00430792">
        <w:rPr>
          <w:w w:val="106"/>
          <w:sz w:val="28"/>
          <w:szCs w:val="28"/>
        </w:rPr>
        <w:t>The Obama administration proposes to repeal the exclusion of net unrealized appreciation for participants who have not attained age 50 by December 31, 2015.</w:t>
      </w:r>
    </w:p>
    <w:p w:rsidR="00840361" w:rsidRDefault="00561856" w:rsidP="00E35818">
      <w:pPr>
        <w:pStyle w:val="Work3"/>
        <w:numPr>
          <w:ilvl w:val="0"/>
          <w:numId w:val="0"/>
        </w:numPr>
        <w:spacing w:after="0" w:line="480" w:lineRule="auto"/>
        <w:ind w:firstLine="2160"/>
        <w:jc w:val="both"/>
        <w:rPr>
          <w:w w:val="106"/>
          <w:sz w:val="28"/>
          <w:szCs w:val="28"/>
        </w:rPr>
      </w:pPr>
      <w:r>
        <w:rPr>
          <w:w w:val="106"/>
          <w:sz w:val="28"/>
          <w:szCs w:val="28"/>
        </w:rPr>
        <w:t>3.</w:t>
      </w:r>
      <w:r>
        <w:rPr>
          <w:w w:val="106"/>
          <w:sz w:val="28"/>
          <w:szCs w:val="28"/>
        </w:rPr>
        <w:tab/>
      </w:r>
      <w:r w:rsidR="00840361" w:rsidRPr="00430792">
        <w:rPr>
          <w:w w:val="106"/>
          <w:sz w:val="28"/>
          <w:szCs w:val="28"/>
        </w:rPr>
        <w:t>This proposal, if enacted, would be effect</w:t>
      </w:r>
      <w:r w:rsidR="008741F9">
        <w:rPr>
          <w:w w:val="106"/>
          <w:sz w:val="28"/>
          <w:szCs w:val="28"/>
        </w:rPr>
        <w:t>ive beginning on January 1, 2017</w:t>
      </w:r>
      <w:r w:rsidR="00840361" w:rsidRPr="00430792">
        <w:rPr>
          <w:w w:val="106"/>
          <w:sz w:val="28"/>
          <w:szCs w:val="28"/>
        </w:rPr>
        <w:t>.</w:t>
      </w:r>
    </w:p>
    <w:p w:rsidR="00840361" w:rsidRPr="009C5450" w:rsidRDefault="00055DFF" w:rsidP="00814046">
      <w:pPr>
        <w:pStyle w:val="Work2"/>
        <w:numPr>
          <w:ilvl w:val="0"/>
          <w:numId w:val="0"/>
        </w:numPr>
        <w:spacing w:after="0" w:line="480" w:lineRule="auto"/>
        <w:ind w:firstLine="1440"/>
        <w:jc w:val="both"/>
        <w:rPr>
          <w:w w:val="106"/>
          <w:sz w:val="28"/>
          <w:szCs w:val="28"/>
        </w:rPr>
      </w:pPr>
      <w:r>
        <w:rPr>
          <w:w w:val="106"/>
          <w:sz w:val="28"/>
          <w:szCs w:val="28"/>
        </w:rPr>
        <w:t>E.</w:t>
      </w:r>
      <w:r>
        <w:rPr>
          <w:w w:val="106"/>
          <w:sz w:val="28"/>
          <w:szCs w:val="28"/>
        </w:rPr>
        <w:tab/>
      </w:r>
      <w:r w:rsidR="00840361" w:rsidRPr="009C5450">
        <w:rPr>
          <w:w w:val="106"/>
          <w:sz w:val="28"/>
          <w:szCs w:val="28"/>
        </w:rPr>
        <w:t>Requirement for certain employers to contribute to individual retirement accounts.</w:t>
      </w:r>
    </w:p>
    <w:p w:rsidR="00840361" w:rsidRPr="009C5450" w:rsidRDefault="00055DFF" w:rsidP="00E35818">
      <w:pPr>
        <w:pStyle w:val="Work3"/>
        <w:numPr>
          <w:ilvl w:val="0"/>
          <w:numId w:val="0"/>
        </w:numPr>
        <w:spacing w:after="0" w:line="480" w:lineRule="auto"/>
        <w:ind w:firstLine="2160"/>
        <w:jc w:val="both"/>
        <w:rPr>
          <w:w w:val="106"/>
          <w:sz w:val="28"/>
          <w:szCs w:val="28"/>
        </w:rPr>
      </w:pPr>
      <w:r>
        <w:rPr>
          <w:w w:val="106"/>
          <w:sz w:val="28"/>
          <w:szCs w:val="28"/>
        </w:rPr>
        <w:t>1.</w:t>
      </w:r>
      <w:r>
        <w:rPr>
          <w:w w:val="106"/>
          <w:sz w:val="28"/>
          <w:szCs w:val="28"/>
        </w:rPr>
        <w:tab/>
      </w:r>
      <w:r w:rsidR="00840361" w:rsidRPr="009C5450">
        <w:rPr>
          <w:w w:val="106"/>
          <w:sz w:val="28"/>
          <w:szCs w:val="28"/>
        </w:rPr>
        <w:t>In a Fact Sheet released by the White House in early 2015, President Obama proposed a number of measures aimed at generating revenue, including</w:t>
      </w:r>
      <w:r w:rsidR="00840361">
        <w:rPr>
          <w:w w:val="106"/>
          <w:sz w:val="28"/>
          <w:szCs w:val="28"/>
        </w:rPr>
        <w:t xml:space="preserve"> a proposal</w:t>
      </w:r>
      <w:r w:rsidR="00840361" w:rsidRPr="009C5450">
        <w:rPr>
          <w:w w:val="106"/>
          <w:sz w:val="28"/>
          <w:szCs w:val="28"/>
        </w:rPr>
        <w:t xml:space="preserve"> requiring employers with more than ten (10) employees that do not have a 401(k) retirement plan to automatically enroll full time and part time employees in an individual retirement account.</w:t>
      </w:r>
    </w:p>
    <w:p w:rsidR="00840361" w:rsidRPr="009C5450" w:rsidRDefault="00055DFF" w:rsidP="00E35818">
      <w:pPr>
        <w:pStyle w:val="Work3"/>
        <w:numPr>
          <w:ilvl w:val="0"/>
          <w:numId w:val="0"/>
        </w:numPr>
        <w:spacing w:after="0" w:line="480" w:lineRule="auto"/>
        <w:ind w:firstLine="2160"/>
        <w:jc w:val="both"/>
        <w:rPr>
          <w:w w:val="106"/>
          <w:sz w:val="28"/>
          <w:szCs w:val="28"/>
        </w:rPr>
      </w:pPr>
      <w:r>
        <w:rPr>
          <w:w w:val="106"/>
          <w:sz w:val="28"/>
          <w:szCs w:val="28"/>
        </w:rPr>
        <w:t>2.</w:t>
      </w:r>
      <w:r>
        <w:rPr>
          <w:w w:val="106"/>
          <w:sz w:val="28"/>
          <w:szCs w:val="28"/>
        </w:rPr>
        <w:tab/>
      </w:r>
      <w:r w:rsidR="00840361" w:rsidRPr="009C5450">
        <w:rPr>
          <w:w w:val="106"/>
          <w:sz w:val="28"/>
          <w:szCs w:val="28"/>
        </w:rPr>
        <w:t xml:space="preserve">The “Automatic IRA Act” of 2015 </w:t>
      </w:r>
      <w:r w:rsidR="00840361">
        <w:rPr>
          <w:w w:val="106"/>
          <w:sz w:val="28"/>
          <w:szCs w:val="28"/>
        </w:rPr>
        <w:t xml:space="preserve">(S. 245) </w:t>
      </w:r>
      <w:r w:rsidR="00840361" w:rsidRPr="009C5450">
        <w:rPr>
          <w:w w:val="106"/>
          <w:sz w:val="28"/>
          <w:szCs w:val="28"/>
        </w:rPr>
        <w:t xml:space="preserve">was introduced in the Senate in late January 2015, which proposes to amend the Code to: (1) require certain employers who do not maintain qualifying retirement plans or arrangements to make available to their eligible employees a payroll deposit individual retirement account (IRA) arrangement, which grants such employees the right to opt out of participation; (2) require the Treasury to provide employers with a model notice for notifying employees of their opportunity to participate in an automatic IRA arrangement and to provide </w:t>
      </w:r>
      <w:r w:rsidR="00840361" w:rsidRPr="009C5450">
        <w:rPr>
          <w:w w:val="106"/>
          <w:sz w:val="28"/>
          <w:szCs w:val="28"/>
        </w:rPr>
        <w:lastRenderedPageBreak/>
        <w:t>participants with an annual statement setting forth the status of the IRA; (3) impose a penalty on employers who fail to provide eligible employees access to an automatic IRA arrangement; (4) allow employers who do not have more than one hundred (100) employees a tax credit for costs associated with establishing an automatic IRA arrangement; and (5) increase the dollar limitation on the tax credit for small employer pension plan start-up costs.</w:t>
      </w:r>
    </w:p>
    <w:p w:rsidR="00840361" w:rsidRPr="009C5450" w:rsidRDefault="00055DFF" w:rsidP="00E35818">
      <w:pPr>
        <w:pStyle w:val="Work3"/>
        <w:numPr>
          <w:ilvl w:val="0"/>
          <w:numId w:val="0"/>
        </w:numPr>
        <w:spacing w:after="0" w:line="480" w:lineRule="auto"/>
        <w:ind w:firstLine="2160"/>
        <w:jc w:val="both"/>
        <w:rPr>
          <w:w w:val="106"/>
          <w:sz w:val="28"/>
          <w:szCs w:val="28"/>
        </w:rPr>
      </w:pPr>
      <w:r>
        <w:rPr>
          <w:w w:val="106"/>
          <w:sz w:val="28"/>
          <w:szCs w:val="28"/>
        </w:rPr>
        <w:t>3.</w:t>
      </w:r>
      <w:r>
        <w:rPr>
          <w:w w:val="106"/>
          <w:sz w:val="28"/>
          <w:szCs w:val="28"/>
        </w:rPr>
        <w:tab/>
      </w:r>
      <w:r w:rsidR="00840361" w:rsidRPr="009C5450">
        <w:rPr>
          <w:w w:val="106"/>
          <w:sz w:val="28"/>
          <w:szCs w:val="28"/>
        </w:rPr>
        <w:t>A comparable bill was introduced in the H</w:t>
      </w:r>
      <w:r w:rsidR="00840361">
        <w:rPr>
          <w:w w:val="106"/>
          <w:sz w:val="28"/>
          <w:szCs w:val="28"/>
        </w:rPr>
        <w:t xml:space="preserve">ouse in April 2015 (H.R. 506). </w:t>
      </w:r>
    </w:p>
    <w:p w:rsidR="00840361" w:rsidRPr="009C5450" w:rsidRDefault="00055DFF" w:rsidP="00814046">
      <w:pPr>
        <w:pStyle w:val="Work2"/>
        <w:numPr>
          <w:ilvl w:val="0"/>
          <w:numId w:val="0"/>
        </w:numPr>
        <w:spacing w:after="0" w:line="480" w:lineRule="auto"/>
        <w:ind w:firstLine="1440"/>
        <w:jc w:val="both"/>
        <w:rPr>
          <w:w w:val="106"/>
          <w:sz w:val="28"/>
          <w:szCs w:val="28"/>
        </w:rPr>
      </w:pPr>
      <w:r>
        <w:rPr>
          <w:w w:val="106"/>
          <w:sz w:val="28"/>
          <w:szCs w:val="28"/>
        </w:rPr>
        <w:t>F.</w:t>
      </w:r>
      <w:r>
        <w:rPr>
          <w:w w:val="106"/>
          <w:sz w:val="28"/>
          <w:szCs w:val="28"/>
        </w:rPr>
        <w:tab/>
      </w:r>
      <w:r w:rsidR="00840361" w:rsidRPr="009C5450">
        <w:rPr>
          <w:w w:val="106"/>
          <w:sz w:val="28"/>
          <w:szCs w:val="28"/>
        </w:rPr>
        <w:t>IRAs for youth.</w:t>
      </w:r>
    </w:p>
    <w:p w:rsidR="00840361" w:rsidRPr="009C5450" w:rsidRDefault="00055DFF" w:rsidP="00E35818">
      <w:pPr>
        <w:pStyle w:val="Work3"/>
        <w:numPr>
          <w:ilvl w:val="0"/>
          <w:numId w:val="0"/>
        </w:numPr>
        <w:spacing w:after="0" w:line="480" w:lineRule="auto"/>
        <w:ind w:firstLine="2160"/>
        <w:jc w:val="both"/>
        <w:rPr>
          <w:w w:val="106"/>
          <w:sz w:val="28"/>
          <w:szCs w:val="28"/>
        </w:rPr>
      </w:pPr>
      <w:r>
        <w:rPr>
          <w:w w:val="106"/>
          <w:sz w:val="28"/>
          <w:szCs w:val="28"/>
        </w:rPr>
        <w:t>1.</w:t>
      </w:r>
      <w:r>
        <w:rPr>
          <w:w w:val="106"/>
          <w:sz w:val="28"/>
          <w:szCs w:val="28"/>
        </w:rPr>
        <w:tab/>
      </w:r>
      <w:r w:rsidR="00840361" w:rsidRPr="009C5450">
        <w:rPr>
          <w:w w:val="106"/>
          <w:sz w:val="28"/>
          <w:szCs w:val="28"/>
        </w:rPr>
        <w:t xml:space="preserve">The “Start Saving Sooner Act of 2015”, introduced in the House as H.R. 1125, proposes to amend the Code to establish a tax-exempt individual retirement account for taxpayers under age 18, to be known as a </w:t>
      </w:r>
      <w:r w:rsidR="00840361">
        <w:rPr>
          <w:w w:val="106"/>
          <w:sz w:val="28"/>
          <w:szCs w:val="28"/>
        </w:rPr>
        <w:t>“</w:t>
      </w:r>
      <w:r w:rsidR="00840361" w:rsidRPr="009C5450">
        <w:rPr>
          <w:w w:val="106"/>
          <w:sz w:val="28"/>
          <w:szCs w:val="28"/>
        </w:rPr>
        <w:t>young savers account.</w:t>
      </w:r>
      <w:r w:rsidR="00840361">
        <w:rPr>
          <w:w w:val="106"/>
          <w:sz w:val="28"/>
          <w:szCs w:val="28"/>
        </w:rPr>
        <w:t>”</w:t>
      </w:r>
      <w:r w:rsidR="00840361" w:rsidRPr="009C5450">
        <w:rPr>
          <w:w w:val="106"/>
          <w:sz w:val="28"/>
          <w:szCs w:val="28"/>
        </w:rPr>
        <w:t xml:space="preserve">  Such accounts are to be treated as Roth IRAs for income tax purposes.  This measure would also allow a tax credit for retirement savings for any contribution to such a young savers account.</w:t>
      </w:r>
    </w:p>
    <w:p w:rsidR="00840361" w:rsidRPr="009C5450" w:rsidRDefault="00055DFF" w:rsidP="00E35818">
      <w:pPr>
        <w:pStyle w:val="Work3"/>
        <w:numPr>
          <w:ilvl w:val="0"/>
          <w:numId w:val="0"/>
        </w:numPr>
        <w:spacing w:after="0" w:line="480" w:lineRule="auto"/>
        <w:ind w:firstLine="2160"/>
        <w:jc w:val="both"/>
        <w:rPr>
          <w:w w:val="106"/>
          <w:sz w:val="28"/>
          <w:szCs w:val="28"/>
        </w:rPr>
      </w:pPr>
      <w:r>
        <w:rPr>
          <w:w w:val="106"/>
          <w:sz w:val="28"/>
          <w:szCs w:val="28"/>
        </w:rPr>
        <w:t>2.</w:t>
      </w:r>
      <w:r>
        <w:rPr>
          <w:w w:val="106"/>
          <w:sz w:val="28"/>
          <w:szCs w:val="28"/>
        </w:rPr>
        <w:tab/>
      </w:r>
      <w:r w:rsidR="00840361" w:rsidRPr="009C5450">
        <w:rPr>
          <w:w w:val="106"/>
          <w:sz w:val="28"/>
          <w:szCs w:val="28"/>
        </w:rPr>
        <w:t xml:space="preserve">The Roth Accounts for Youth Savings Act of 2015, or the “RAYS” Act, has been introduced in the House as H.R. 1377.  This Bill amends the Code to allow dependents of taxpayer to establish a tax-preferred savings account, similar to a Roth IRA, to be known as a Roth Account for Youth.  Any amounts in such an account will be disregarded for purposes of </w:t>
      </w:r>
      <w:r w:rsidR="00840361" w:rsidRPr="009C5450">
        <w:rPr>
          <w:w w:val="106"/>
          <w:sz w:val="28"/>
          <w:szCs w:val="28"/>
        </w:rPr>
        <w:lastRenderedPageBreak/>
        <w:t>determining eligibility for benefits or assistance under any means-tested federal benefit program.</w:t>
      </w:r>
    </w:p>
    <w:p w:rsidR="00840361" w:rsidRPr="009C5450" w:rsidRDefault="00055DFF" w:rsidP="00E35818">
      <w:pPr>
        <w:pStyle w:val="Work3"/>
        <w:numPr>
          <w:ilvl w:val="0"/>
          <w:numId w:val="0"/>
        </w:numPr>
        <w:spacing w:after="0" w:line="480" w:lineRule="auto"/>
        <w:ind w:firstLine="2160"/>
        <w:jc w:val="both"/>
        <w:rPr>
          <w:w w:val="106"/>
          <w:sz w:val="28"/>
          <w:szCs w:val="28"/>
        </w:rPr>
      </w:pPr>
      <w:r>
        <w:rPr>
          <w:w w:val="106"/>
          <w:sz w:val="28"/>
          <w:szCs w:val="28"/>
        </w:rPr>
        <w:t>3.</w:t>
      </w:r>
      <w:r>
        <w:rPr>
          <w:w w:val="106"/>
          <w:sz w:val="28"/>
          <w:szCs w:val="28"/>
        </w:rPr>
        <w:tab/>
      </w:r>
      <w:r w:rsidR="00840361" w:rsidRPr="009C5450">
        <w:rPr>
          <w:w w:val="106"/>
          <w:sz w:val="28"/>
          <w:szCs w:val="28"/>
        </w:rPr>
        <w:t>The “401(Kids) Education Savings Account Act of 2015,</w:t>
      </w:r>
      <w:r w:rsidR="00840361">
        <w:rPr>
          <w:w w:val="106"/>
          <w:sz w:val="28"/>
          <w:szCs w:val="28"/>
        </w:rPr>
        <w:t>”</w:t>
      </w:r>
      <w:r w:rsidR="00840361" w:rsidRPr="009C5450">
        <w:rPr>
          <w:w w:val="106"/>
          <w:sz w:val="28"/>
          <w:szCs w:val="28"/>
        </w:rPr>
        <w:t xml:space="preserve"> was introduced in the Senate as S. 195.  This Bill which would amend the Code by eliminating after 2015 the income-based reduction of contributions to Coverdell education savings accounts, increase the annual contribution limit for such accounts, allow the youth of such an account to pay homeschool expenses and the acquisition costs of a first-time home buyer, and allow tax-free rollovers of amounts in a Coverdell education savings account to a Roth IRA.</w:t>
      </w:r>
    </w:p>
    <w:p w:rsidR="00840361" w:rsidRPr="00DD70B9" w:rsidRDefault="00840361" w:rsidP="00E35818">
      <w:pPr>
        <w:ind w:firstLine="2160"/>
        <w:jc w:val="both"/>
      </w:pPr>
    </w:p>
    <w:sectPr w:rsidR="00840361" w:rsidRPr="00DD70B9" w:rsidSect="006E4BA9">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289" w:rsidRDefault="00BC0289" w:rsidP="0075130C">
      <w:pPr>
        <w:spacing w:after="0" w:line="240" w:lineRule="auto"/>
      </w:pPr>
      <w:r>
        <w:separator/>
      </w:r>
    </w:p>
  </w:endnote>
  <w:endnote w:type="continuationSeparator" w:id="0">
    <w:p w:rsidR="00BC0289" w:rsidRDefault="00BC0289" w:rsidP="0075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79C" w:rsidRDefault="00400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13387092"/>
      <w:docPartObj>
        <w:docPartGallery w:val="Page Numbers (Bottom of Page)"/>
        <w:docPartUnique/>
      </w:docPartObj>
    </w:sdtPr>
    <w:sdtEndPr>
      <w:rPr>
        <w:noProof/>
      </w:rPr>
    </w:sdtEndPr>
    <w:sdtContent>
      <w:p w:rsidR="0040079C" w:rsidRDefault="0040079C" w:rsidP="00B56FA5">
        <w:pPr>
          <w:pStyle w:val="Footer"/>
          <w:jc w:val="center"/>
          <w:rPr>
            <w:rFonts w:ascii="Times New Roman" w:hAnsi="Times New Roman" w:cs="Times New Roman"/>
            <w:noProof/>
            <w:sz w:val="24"/>
            <w:szCs w:val="24"/>
          </w:rPr>
        </w:pPr>
        <w:r w:rsidRPr="00B56FA5">
          <w:rPr>
            <w:rFonts w:ascii="Times New Roman" w:hAnsi="Times New Roman" w:cs="Times New Roman"/>
            <w:sz w:val="24"/>
            <w:szCs w:val="24"/>
          </w:rPr>
          <w:t>-</w:t>
        </w:r>
        <w:r w:rsidRPr="00B56FA5">
          <w:rPr>
            <w:rFonts w:ascii="Times New Roman" w:hAnsi="Times New Roman" w:cs="Times New Roman"/>
            <w:sz w:val="24"/>
            <w:szCs w:val="24"/>
          </w:rPr>
          <w:fldChar w:fldCharType="begin"/>
        </w:r>
        <w:r w:rsidRPr="00B56FA5">
          <w:rPr>
            <w:rFonts w:ascii="Times New Roman" w:hAnsi="Times New Roman" w:cs="Times New Roman"/>
            <w:sz w:val="24"/>
            <w:szCs w:val="24"/>
          </w:rPr>
          <w:instrText xml:space="preserve"> PAGE   \* MERGEFORMAT </w:instrText>
        </w:r>
        <w:r w:rsidRPr="00B56FA5">
          <w:rPr>
            <w:rFonts w:ascii="Times New Roman" w:hAnsi="Times New Roman" w:cs="Times New Roman"/>
            <w:sz w:val="24"/>
            <w:szCs w:val="24"/>
          </w:rPr>
          <w:fldChar w:fldCharType="separate"/>
        </w:r>
        <w:r w:rsidR="009E2F8C">
          <w:rPr>
            <w:rFonts w:ascii="Times New Roman" w:hAnsi="Times New Roman" w:cs="Times New Roman"/>
            <w:noProof/>
            <w:sz w:val="24"/>
            <w:szCs w:val="24"/>
          </w:rPr>
          <w:t>3</w:t>
        </w:r>
        <w:r w:rsidRPr="00B56FA5">
          <w:rPr>
            <w:rFonts w:ascii="Times New Roman" w:hAnsi="Times New Roman" w:cs="Times New Roman"/>
            <w:noProof/>
            <w:sz w:val="24"/>
            <w:szCs w:val="24"/>
          </w:rPr>
          <w:fldChar w:fldCharType="end"/>
        </w:r>
        <w:r w:rsidRPr="00B56FA5">
          <w:rPr>
            <w:rFonts w:ascii="Times New Roman" w:hAnsi="Times New Roman" w:cs="Times New Roman"/>
            <w:noProof/>
            <w:sz w:val="24"/>
            <w:szCs w:val="24"/>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79C" w:rsidRPr="00B56FA5" w:rsidRDefault="0040079C">
    <w:pPr>
      <w:pStyle w:val="Footer"/>
      <w:jc w:val="center"/>
      <w:rPr>
        <w:rFonts w:ascii="Times New Roman" w:hAnsi="Times New Roman" w:cs="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17838351"/>
      <w:docPartObj>
        <w:docPartGallery w:val="Page Numbers (Bottom of Page)"/>
        <w:docPartUnique/>
      </w:docPartObj>
    </w:sdtPr>
    <w:sdtEndPr>
      <w:rPr>
        <w:noProof/>
      </w:rPr>
    </w:sdtEndPr>
    <w:sdtContent>
      <w:p w:rsidR="0040079C" w:rsidRPr="00B56FA5" w:rsidRDefault="0040079C">
        <w:pPr>
          <w:pStyle w:val="Footer"/>
          <w:jc w:val="center"/>
          <w:rPr>
            <w:rFonts w:ascii="Times New Roman" w:hAnsi="Times New Roman" w:cs="Times New Roman"/>
            <w:sz w:val="24"/>
            <w:szCs w:val="24"/>
          </w:rPr>
        </w:pPr>
        <w:r w:rsidRPr="00B56FA5">
          <w:rPr>
            <w:rFonts w:ascii="Times New Roman" w:hAnsi="Times New Roman" w:cs="Times New Roman"/>
            <w:sz w:val="24"/>
            <w:szCs w:val="24"/>
          </w:rPr>
          <w:t>-</w:t>
        </w:r>
        <w:r w:rsidRPr="00B56FA5">
          <w:rPr>
            <w:rFonts w:ascii="Times New Roman" w:hAnsi="Times New Roman" w:cs="Times New Roman"/>
            <w:sz w:val="24"/>
            <w:szCs w:val="24"/>
          </w:rPr>
          <w:fldChar w:fldCharType="begin"/>
        </w:r>
        <w:r w:rsidRPr="00B56FA5">
          <w:rPr>
            <w:rFonts w:ascii="Times New Roman" w:hAnsi="Times New Roman" w:cs="Times New Roman"/>
            <w:sz w:val="24"/>
            <w:szCs w:val="24"/>
          </w:rPr>
          <w:instrText xml:space="preserve"> PAGE   \* MERGEFORMAT </w:instrText>
        </w:r>
        <w:r w:rsidRPr="00B56FA5">
          <w:rPr>
            <w:rFonts w:ascii="Times New Roman" w:hAnsi="Times New Roman" w:cs="Times New Roman"/>
            <w:sz w:val="24"/>
            <w:szCs w:val="24"/>
          </w:rPr>
          <w:fldChar w:fldCharType="separate"/>
        </w:r>
        <w:r w:rsidR="009E2F8C">
          <w:rPr>
            <w:rFonts w:ascii="Times New Roman" w:hAnsi="Times New Roman" w:cs="Times New Roman"/>
            <w:noProof/>
            <w:sz w:val="24"/>
            <w:szCs w:val="24"/>
          </w:rPr>
          <w:t>1</w:t>
        </w:r>
        <w:r w:rsidRPr="00B56FA5">
          <w:rPr>
            <w:rFonts w:ascii="Times New Roman" w:hAnsi="Times New Roman" w:cs="Times New Roman"/>
            <w:noProof/>
            <w:sz w:val="24"/>
            <w:szCs w:val="24"/>
          </w:rPr>
          <w:fldChar w:fldCharType="end"/>
        </w:r>
        <w:r>
          <w:rPr>
            <w:rFonts w:ascii="Times New Roman" w:hAnsi="Times New Roman" w:cs="Times New Roman"/>
            <w:noProof/>
            <w:sz w:val="24"/>
            <w:szCs w:val="24"/>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289" w:rsidRDefault="00BC0289" w:rsidP="0075130C">
      <w:pPr>
        <w:spacing w:after="0" w:line="240" w:lineRule="auto"/>
      </w:pPr>
      <w:r>
        <w:separator/>
      </w:r>
    </w:p>
  </w:footnote>
  <w:footnote w:type="continuationSeparator" w:id="0">
    <w:p w:rsidR="00BC0289" w:rsidRDefault="00BC0289" w:rsidP="00751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79C" w:rsidRDefault="00400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79C" w:rsidRDefault="004007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79C" w:rsidRDefault="00400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30BD1"/>
    <w:multiLevelType w:val="hybridMultilevel"/>
    <w:tmpl w:val="98903AC2"/>
    <w:lvl w:ilvl="0" w:tplc="B8F28C38">
      <w:start w:val="1"/>
      <w:numFmt w:val="upperRoman"/>
      <w:lvlText w:val="%1."/>
      <w:lvlJc w:val="left"/>
      <w:pPr>
        <w:ind w:left="1080" w:hanging="720"/>
      </w:pPr>
      <w:rPr>
        <w:rFonts w:hint="default"/>
      </w:rPr>
    </w:lvl>
    <w:lvl w:ilvl="1" w:tplc="3D788710">
      <w:start w:val="1"/>
      <w:numFmt w:val="upperLetter"/>
      <w:lvlText w:val="%2."/>
      <w:lvlJc w:val="left"/>
      <w:pPr>
        <w:ind w:left="1440" w:hanging="360"/>
      </w:pPr>
      <w:rPr>
        <w:rFonts w:ascii="Times New Roman" w:eastAsiaTheme="minorHAnsi" w:hAnsi="Times New Roman" w:cstheme="minorBidi"/>
      </w:rPr>
    </w:lvl>
    <w:lvl w:ilvl="2" w:tplc="ABDCC27A">
      <w:start w:val="1"/>
      <w:numFmt w:val="upperLetter"/>
      <w:lvlText w:val="%3."/>
      <w:lvlJc w:val="left"/>
      <w:pPr>
        <w:ind w:left="2340" w:hanging="360"/>
      </w:pPr>
      <w:rPr>
        <w:rFonts w:ascii="Times New Roman" w:eastAsiaTheme="minorHAnsi" w:hAnsi="Times New Roman" w:cstheme="minorBidi"/>
      </w:rPr>
    </w:lvl>
    <w:lvl w:ilvl="3" w:tplc="0409000F">
      <w:start w:val="1"/>
      <w:numFmt w:val="decimal"/>
      <w:lvlText w:val="%4."/>
      <w:lvlJc w:val="left"/>
      <w:pPr>
        <w:ind w:left="2880" w:hanging="360"/>
      </w:pPr>
    </w:lvl>
    <w:lvl w:ilvl="4" w:tplc="736A3A9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E0E9E"/>
    <w:multiLevelType w:val="multilevel"/>
    <w:tmpl w:val="577A36AE"/>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 w15:restartNumberingAfterBreak="0">
    <w:nsid w:val="0AA87862"/>
    <w:multiLevelType w:val="hybridMultilevel"/>
    <w:tmpl w:val="0C0EBE38"/>
    <w:lvl w:ilvl="0" w:tplc="00564D98">
      <w:start w:val="1"/>
      <w:numFmt w:val="lowerLetter"/>
      <w:lvlText w:val="(%1)"/>
      <w:lvlJc w:val="left"/>
      <w:pPr>
        <w:ind w:left="1800" w:hanging="360"/>
      </w:pPr>
      <w:rPr>
        <w:rFonts w:ascii="Times New Roman" w:eastAsiaTheme="minorHAnsi"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931A7A"/>
    <w:multiLevelType w:val="hybridMultilevel"/>
    <w:tmpl w:val="65DE7FE4"/>
    <w:lvl w:ilvl="0" w:tplc="E41A4DE4">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A33996"/>
    <w:multiLevelType w:val="hybridMultilevel"/>
    <w:tmpl w:val="6F22E3FE"/>
    <w:lvl w:ilvl="0" w:tplc="C5189C52">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20E5922"/>
    <w:multiLevelType w:val="multilevel"/>
    <w:tmpl w:val="DCF89058"/>
    <w:styleLink w:val="OutlineStyles"/>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6" w15:restartNumberingAfterBreak="0">
    <w:nsid w:val="12EA594C"/>
    <w:multiLevelType w:val="multilevel"/>
    <w:tmpl w:val="387C7CFA"/>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7" w15:restartNumberingAfterBreak="0">
    <w:nsid w:val="14757173"/>
    <w:multiLevelType w:val="multilevel"/>
    <w:tmpl w:val="DCF89058"/>
    <w:numStyleLink w:val="OutlineStyles"/>
  </w:abstractNum>
  <w:abstractNum w:abstractNumId="8" w15:restartNumberingAfterBreak="0">
    <w:nsid w:val="19C96BCE"/>
    <w:multiLevelType w:val="hybridMultilevel"/>
    <w:tmpl w:val="C942936C"/>
    <w:lvl w:ilvl="0" w:tplc="0350787C">
      <w:start w:val="1"/>
      <w:numFmt w:val="lowerLetter"/>
      <w:lvlText w:val="%1."/>
      <w:lvlJc w:val="left"/>
      <w:pPr>
        <w:tabs>
          <w:tab w:val="num" w:pos="2880"/>
        </w:tabs>
        <w:ind w:left="2880" w:hanging="1440"/>
      </w:pPr>
      <w:rPr>
        <w:rFonts w:ascii="Times New Roman" w:eastAsia="Times New Roman" w:hAnsi="Times New Roman" w:cs="Times New Roman"/>
      </w:rPr>
    </w:lvl>
    <w:lvl w:ilvl="1" w:tplc="84D45528">
      <w:start w:val="1"/>
      <w:numFmt w:val="lowerLetter"/>
      <w:lvlText w:val="%2."/>
      <w:lvlJc w:val="left"/>
      <w:pPr>
        <w:tabs>
          <w:tab w:val="num" w:pos="2520"/>
        </w:tabs>
        <w:ind w:left="2520" w:hanging="360"/>
      </w:pPr>
      <w:rPr>
        <w:rFonts w:hint="default"/>
      </w:rPr>
    </w:lvl>
    <w:lvl w:ilvl="2" w:tplc="97CAB9FC">
      <w:start w:val="1"/>
      <w:numFmt w:val="lowerLetter"/>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E5F61F2"/>
    <w:multiLevelType w:val="hybridMultilevel"/>
    <w:tmpl w:val="AAB0ABA6"/>
    <w:lvl w:ilvl="0" w:tplc="24BCCC2C">
      <w:start w:val="1"/>
      <w:numFmt w:val="upperLetter"/>
      <w:lvlText w:val="%1."/>
      <w:lvlJc w:val="left"/>
      <w:pPr>
        <w:ind w:left="1440" w:hanging="720"/>
      </w:pPr>
      <w:rPr>
        <w:rFonts w:eastAsia="Arial"/>
        <w:w w:val="100"/>
      </w:rPr>
    </w:lvl>
    <w:lvl w:ilvl="1" w:tplc="870C5460">
      <w:start w:val="1"/>
      <w:numFmt w:val="decimal"/>
      <w:lvlText w:val="%2."/>
      <w:lvlJc w:val="left"/>
      <w:pPr>
        <w:ind w:left="1800" w:hanging="360"/>
      </w:pPr>
      <w:rPr>
        <w:rFonts w:ascii="Times New Roman" w:eastAsiaTheme="minorHAnsi" w:hAnsi="Times New Roman" w:cstheme="minorBid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22408B0"/>
    <w:multiLevelType w:val="hybridMultilevel"/>
    <w:tmpl w:val="541E6C50"/>
    <w:lvl w:ilvl="0" w:tplc="EA6497A4">
      <w:start w:val="1"/>
      <w:numFmt w:val="lowerLetter"/>
      <w:lvlText w:val="%1."/>
      <w:lvlJc w:val="left"/>
      <w:pPr>
        <w:tabs>
          <w:tab w:val="num" w:pos="1800"/>
        </w:tabs>
        <w:ind w:left="1800" w:hanging="360"/>
      </w:pPr>
      <w:rPr>
        <w:rFonts w:hint="default"/>
      </w:rPr>
    </w:lvl>
    <w:lvl w:ilvl="1" w:tplc="CFC67772">
      <w:start w:val="1"/>
      <w:numFmt w:val="decimal"/>
      <w:lvlText w:val="%2."/>
      <w:lvlJc w:val="left"/>
      <w:pPr>
        <w:tabs>
          <w:tab w:val="num" w:pos="3600"/>
        </w:tabs>
        <w:ind w:left="3600" w:hanging="1440"/>
      </w:pPr>
      <w:rPr>
        <w:rFonts w:hint="default"/>
      </w:rPr>
    </w:lvl>
    <w:lvl w:ilvl="2" w:tplc="8B68ACF8">
      <w:start w:val="1"/>
      <w:numFmt w:val="lowerLetter"/>
      <w:lvlText w:val="%3."/>
      <w:lvlJc w:val="left"/>
      <w:pPr>
        <w:tabs>
          <w:tab w:val="num" w:pos="3420"/>
        </w:tabs>
        <w:ind w:left="3420" w:hanging="360"/>
      </w:pPr>
      <w:rPr>
        <w:rFonts w:hint="default"/>
      </w:rPr>
    </w:lvl>
    <w:lvl w:ilvl="3" w:tplc="C9B6FD02">
      <w:start w:val="6"/>
      <w:numFmt w:val="upperLetter"/>
      <w:lvlText w:val="%4."/>
      <w:lvlJc w:val="left"/>
      <w:pPr>
        <w:tabs>
          <w:tab w:val="num" w:pos="4320"/>
        </w:tabs>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52B24FC"/>
    <w:multiLevelType w:val="hybridMultilevel"/>
    <w:tmpl w:val="8C0E9666"/>
    <w:lvl w:ilvl="0" w:tplc="662C1DA0">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215B74"/>
    <w:multiLevelType w:val="hybridMultilevel"/>
    <w:tmpl w:val="F8580484"/>
    <w:lvl w:ilvl="0" w:tplc="41FCEA56">
      <w:start w:val="1"/>
      <w:numFmt w:val="decimal"/>
      <w:lvlText w:val="%1."/>
      <w:lvlJc w:val="left"/>
      <w:pPr>
        <w:tabs>
          <w:tab w:val="num" w:pos="2880"/>
        </w:tabs>
        <w:ind w:left="2880" w:hanging="1440"/>
      </w:pPr>
      <w:rPr>
        <w:rFonts w:hint="default"/>
      </w:rPr>
    </w:lvl>
    <w:lvl w:ilvl="1" w:tplc="AECC6542">
      <w:start w:val="1"/>
      <w:numFmt w:val="lowerLetter"/>
      <w:lvlText w:val="%2."/>
      <w:lvlJc w:val="left"/>
      <w:pPr>
        <w:tabs>
          <w:tab w:val="num" w:pos="3600"/>
        </w:tabs>
        <w:ind w:left="3600" w:hanging="144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F92B3A"/>
    <w:multiLevelType w:val="multilevel"/>
    <w:tmpl w:val="8026CC1E"/>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4" w15:restartNumberingAfterBreak="0">
    <w:nsid w:val="284F1A5A"/>
    <w:multiLevelType w:val="hybridMultilevel"/>
    <w:tmpl w:val="9324732E"/>
    <w:lvl w:ilvl="0" w:tplc="DF462ABE">
      <w:start w:val="5"/>
      <w:numFmt w:val="decimal"/>
      <w:lvlText w:val="%1."/>
      <w:lvlJc w:val="left"/>
      <w:pPr>
        <w:ind w:left="3240" w:hanging="360"/>
      </w:pPr>
      <w:rPr>
        <w:rFonts w:hint="default"/>
      </w:rPr>
    </w:lvl>
    <w:lvl w:ilvl="1" w:tplc="04090019">
      <w:start w:val="1"/>
      <w:numFmt w:val="lowerLetter"/>
      <w:lvlText w:val="%2."/>
      <w:lvlJc w:val="left"/>
      <w:pPr>
        <w:ind w:left="3960" w:hanging="360"/>
      </w:pPr>
    </w:lvl>
    <w:lvl w:ilvl="2" w:tplc="3C6E9364">
      <w:start w:val="1"/>
      <w:numFmt w:val="lowerRoman"/>
      <w:lvlText w:val="(%3)"/>
      <w:lvlJc w:val="right"/>
      <w:pPr>
        <w:ind w:left="4680" w:hanging="180"/>
      </w:pPr>
      <w:rPr>
        <w:rFonts w:ascii="Times New Roman" w:eastAsiaTheme="minorHAnsi" w:hAnsi="Times New Roman" w:cs="Times New Roman"/>
      </w:rPr>
    </w:lvl>
    <w:lvl w:ilvl="3" w:tplc="5044906A">
      <w:start w:val="1"/>
      <w:numFmt w:val="lowerRoman"/>
      <w:lvlText w:val="(%4)"/>
      <w:lvlJc w:val="left"/>
      <w:pPr>
        <w:ind w:left="5760" w:hanging="72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28557521"/>
    <w:multiLevelType w:val="hybridMultilevel"/>
    <w:tmpl w:val="B35663C6"/>
    <w:lvl w:ilvl="0" w:tplc="6BD8AC80">
      <w:start w:val="1"/>
      <w:numFmt w:val="decimal"/>
      <w:lvlText w:val="%1."/>
      <w:lvlJc w:val="left"/>
      <w:pPr>
        <w:ind w:left="1800" w:hanging="360"/>
      </w:pPr>
    </w:lvl>
    <w:lvl w:ilvl="1" w:tplc="1A8E386E">
      <w:start w:val="1"/>
      <w:numFmt w:val="lowerLetter"/>
      <w:lvlText w:val="%2."/>
      <w:lvlJc w:val="left"/>
      <w:pPr>
        <w:ind w:left="3240" w:hanging="360"/>
      </w:pPr>
      <w:rPr>
        <w:rFonts w:ascii="Times New Roman" w:eastAsiaTheme="minorHAnsi" w:hAnsi="Times New Roman" w:cs="Times New Roman"/>
      </w:rPr>
    </w:lvl>
    <w:lvl w:ilvl="2" w:tplc="0409001B">
      <w:start w:val="1"/>
      <w:numFmt w:val="lowerRoman"/>
      <w:lvlText w:val="%3."/>
      <w:lvlJc w:val="right"/>
      <w:pPr>
        <w:ind w:left="3240" w:hanging="180"/>
      </w:pPr>
    </w:lvl>
    <w:lvl w:ilvl="3" w:tplc="5B6EEA4C">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9167277"/>
    <w:multiLevelType w:val="hybridMultilevel"/>
    <w:tmpl w:val="FDEE214A"/>
    <w:lvl w:ilvl="0" w:tplc="8DF2F080">
      <w:start w:val="1"/>
      <w:numFmt w:val="decimal"/>
      <w:lvlText w:val="%1."/>
      <w:lvlJc w:val="left"/>
      <w:pPr>
        <w:tabs>
          <w:tab w:val="num" w:pos="2880"/>
        </w:tabs>
        <w:ind w:left="2880" w:hanging="1440"/>
      </w:pPr>
      <w:rPr>
        <w:rFonts w:hint="default"/>
      </w:rPr>
    </w:lvl>
    <w:lvl w:ilvl="1" w:tplc="E94A837A">
      <w:start w:val="1"/>
      <w:numFmt w:val="lowerLetter"/>
      <w:lvlText w:val="%2."/>
      <w:lvlJc w:val="left"/>
      <w:pPr>
        <w:tabs>
          <w:tab w:val="num" w:pos="2520"/>
        </w:tabs>
        <w:ind w:left="2520" w:hanging="360"/>
      </w:pPr>
      <w:rPr>
        <w:rFonts w:hint="default"/>
      </w:rPr>
    </w:lvl>
    <w:lvl w:ilvl="2" w:tplc="99A6131A">
      <w:start w:val="1"/>
      <w:numFmt w:val="lowerRoman"/>
      <w:lvlText w:val="(%3)"/>
      <w:lvlJc w:val="left"/>
      <w:pPr>
        <w:tabs>
          <w:tab w:val="num" w:pos="3780"/>
        </w:tabs>
        <w:ind w:left="3780" w:hanging="720"/>
      </w:pPr>
      <w:rPr>
        <w:rFonts w:hint="default"/>
      </w:rPr>
    </w:lvl>
    <w:lvl w:ilvl="3" w:tplc="9D987F7C">
      <w:start w:val="1"/>
      <w:numFmt w:val="lowerLetter"/>
      <w:lvlText w:val="%4."/>
      <w:lvlJc w:val="left"/>
      <w:pPr>
        <w:tabs>
          <w:tab w:val="num" w:pos="3960"/>
        </w:tabs>
        <w:ind w:left="3960" w:hanging="360"/>
      </w:pPr>
      <w:rPr>
        <w:rFonts w:hint="default"/>
      </w:rPr>
    </w:lvl>
    <w:lvl w:ilvl="4" w:tplc="90AEE1EE">
      <w:start w:val="6"/>
      <w:numFmt w:val="upperLetter"/>
      <w:lvlText w:val="%5."/>
      <w:lvlJc w:val="left"/>
      <w:pPr>
        <w:tabs>
          <w:tab w:val="num" w:pos="5040"/>
        </w:tabs>
        <w:ind w:left="5040" w:hanging="72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9316EF6"/>
    <w:multiLevelType w:val="multilevel"/>
    <w:tmpl w:val="230E2FFE"/>
    <w:lvl w:ilvl="0">
      <w:start w:val="1"/>
      <w:numFmt w:val="upperRoman"/>
      <w:pStyle w:val="outlineindent1"/>
      <w:lvlText w:val="%1."/>
      <w:lvlJc w:val="left"/>
      <w:pPr>
        <w:tabs>
          <w:tab w:val="num" w:pos="0"/>
        </w:tabs>
        <w:ind w:left="72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indent2"/>
      <w:lvlText w:val="%2."/>
      <w:lvlJc w:val="left"/>
      <w:pPr>
        <w:tabs>
          <w:tab w:val="num" w:pos="0"/>
        </w:tabs>
        <w:ind w:left="144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indent3"/>
      <w:lvlText w:val="%3."/>
      <w:lvlJc w:val="left"/>
      <w:pPr>
        <w:tabs>
          <w:tab w:val="num" w:pos="0"/>
        </w:tabs>
        <w:ind w:left="216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indent4"/>
      <w:lvlText w:val="%4."/>
      <w:lvlJc w:val="left"/>
      <w:pPr>
        <w:tabs>
          <w:tab w:val="num" w:pos="0"/>
        </w:tabs>
        <w:ind w:left="288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indent5"/>
      <w:lvlText w:val="(%5)"/>
      <w:lvlJc w:val="left"/>
      <w:pPr>
        <w:tabs>
          <w:tab w:val="num" w:pos="0"/>
        </w:tabs>
        <w:ind w:left="360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indent6"/>
      <w:lvlText w:val="(%6)"/>
      <w:lvlJc w:val="left"/>
      <w:pPr>
        <w:tabs>
          <w:tab w:val="num" w:pos="0"/>
        </w:tabs>
        <w:ind w:left="432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ent7"/>
      <w:lvlText w:val="(%7)"/>
      <w:lvlJc w:val="left"/>
      <w:pPr>
        <w:tabs>
          <w:tab w:val="num" w:pos="0"/>
        </w:tabs>
        <w:ind w:left="504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indent8"/>
      <w:lvlText w:val="%8)"/>
      <w:lvlJc w:val="left"/>
      <w:pPr>
        <w:tabs>
          <w:tab w:val="num" w:pos="0"/>
        </w:tabs>
        <w:ind w:left="576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indent9"/>
      <w:lvlText w:val="%9)"/>
      <w:lvlJc w:val="left"/>
      <w:pPr>
        <w:tabs>
          <w:tab w:val="num" w:pos="0"/>
        </w:tabs>
        <w:ind w:left="648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E291400"/>
    <w:multiLevelType w:val="multilevel"/>
    <w:tmpl w:val="CF30E8A4"/>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9" w15:restartNumberingAfterBreak="0">
    <w:nsid w:val="2EF075A8"/>
    <w:multiLevelType w:val="hybridMultilevel"/>
    <w:tmpl w:val="3EE2E8BE"/>
    <w:lvl w:ilvl="0" w:tplc="42843084">
      <w:start w:val="1"/>
      <w:numFmt w:val="lowerLetter"/>
      <w:lvlText w:val="(%1)"/>
      <w:lvlJc w:val="left"/>
      <w:pPr>
        <w:ind w:left="3960" w:hanging="360"/>
      </w:pPr>
      <w:rPr>
        <w:rFonts w:ascii="Times New Roman" w:eastAsiaTheme="minorHAnsi" w:hAnsi="Times New Roman" w:cstheme="minorBidi"/>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2F674FC2"/>
    <w:multiLevelType w:val="hybridMultilevel"/>
    <w:tmpl w:val="79CAA098"/>
    <w:lvl w:ilvl="0" w:tplc="74041DC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F797D59"/>
    <w:multiLevelType w:val="hybridMultilevel"/>
    <w:tmpl w:val="5C8C02EA"/>
    <w:lvl w:ilvl="0" w:tplc="D290776E">
      <w:start w:val="1"/>
      <w:numFmt w:val="decimal"/>
      <w:lvlText w:val="%1."/>
      <w:lvlJc w:val="left"/>
      <w:pPr>
        <w:tabs>
          <w:tab w:val="num" w:pos="4320"/>
        </w:tabs>
        <w:ind w:left="4320" w:hanging="2160"/>
      </w:pPr>
      <w:rPr>
        <w:rFonts w:hint="default"/>
      </w:rPr>
    </w:lvl>
    <w:lvl w:ilvl="1" w:tplc="8A3CB9EE">
      <w:start w:val="1"/>
      <w:numFmt w:val="decimal"/>
      <w:lvlText w:val="(%2)"/>
      <w:lvlJc w:val="left"/>
      <w:pPr>
        <w:tabs>
          <w:tab w:val="num" w:pos="4590"/>
        </w:tabs>
        <w:ind w:left="4590" w:hanging="1440"/>
      </w:pPr>
      <w:rPr>
        <w:rFonts w:ascii="Times New Roman" w:eastAsiaTheme="minorHAnsi" w:hAnsi="Times New Roman" w:cs="Times New Roman"/>
      </w:rPr>
    </w:lvl>
    <w:lvl w:ilvl="2" w:tplc="2AA8B3A8">
      <w:start w:val="1"/>
      <w:numFmt w:val="upperLetter"/>
      <w:lvlText w:val="(%3)"/>
      <w:lvlJc w:val="left"/>
      <w:pPr>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0294ABE"/>
    <w:multiLevelType w:val="hybridMultilevel"/>
    <w:tmpl w:val="BE3A6B3E"/>
    <w:lvl w:ilvl="0" w:tplc="00ECBA3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313A3C90"/>
    <w:multiLevelType w:val="hybridMultilevel"/>
    <w:tmpl w:val="481602AA"/>
    <w:lvl w:ilvl="0" w:tplc="32A0B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CE0EC3"/>
    <w:multiLevelType w:val="hybridMultilevel"/>
    <w:tmpl w:val="632E70D0"/>
    <w:lvl w:ilvl="0" w:tplc="A25872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66E4E6A"/>
    <w:multiLevelType w:val="hybridMultilevel"/>
    <w:tmpl w:val="034CB28A"/>
    <w:lvl w:ilvl="0" w:tplc="E872EE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80216"/>
    <w:multiLevelType w:val="hybridMultilevel"/>
    <w:tmpl w:val="0E78920C"/>
    <w:lvl w:ilvl="0" w:tplc="ECEA9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292DF2"/>
    <w:multiLevelType w:val="hybridMultilevel"/>
    <w:tmpl w:val="B7246B5E"/>
    <w:lvl w:ilvl="0" w:tplc="C5086F2E">
      <w:start w:val="5"/>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D220786"/>
    <w:multiLevelType w:val="hybridMultilevel"/>
    <w:tmpl w:val="CBAAB08A"/>
    <w:lvl w:ilvl="0" w:tplc="19705132">
      <w:start w:val="1"/>
      <w:numFmt w:val="decimal"/>
      <w:lvlText w:val="(%1)"/>
      <w:lvlJc w:val="left"/>
      <w:pPr>
        <w:tabs>
          <w:tab w:val="num" w:pos="2880"/>
        </w:tabs>
        <w:ind w:left="2880" w:hanging="720"/>
      </w:pPr>
      <w:rPr>
        <w:rFonts w:ascii="Times New Roman" w:eastAsiaTheme="minorHAnsi" w:hAnsi="Times New Roman" w:cs="Times New Roman"/>
      </w:rPr>
    </w:lvl>
    <w:lvl w:ilvl="1" w:tplc="45286C5E">
      <w:start w:val="1"/>
      <w:numFmt w:val="lowerLetter"/>
      <w:lvlText w:val="(%2)"/>
      <w:lvlJc w:val="left"/>
      <w:pPr>
        <w:tabs>
          <w:tab w:val="num" w:pos="4320"/>
        </w:tabs>
        <w:ind w:left="4320" w:hanging="1440"/>
      </w:pPr>
      <w:rPr>
        <w:rFonts w:ascii="Times New Roman" w:eastAsiaTheme="minorHAnsi" w:hAnsi="Times New Roman" w:cs="Times New Roman"/>
      </w:rPr>
    </w:lvl>
    <w:lvl w:ilvl="2" w:tplc="0E96EA92">
      <w:start w:val="1"/>
      <w:numFmt w:val="decimal"/>
      <w:lvlText w:val="%3."/>
      <w:lvlJc w:val="left"/>
      <w:pPr>
        <w:tabs>
          <w:tab w:val="num" w:pos="5220"/>
        </w:tabs>
        <w:ind w:left="5220" w:hanging="144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49CC5BCB"/>
    <w:multiLevelType w:val="hybridMultilevel"/>
    <w:tmpl w:val="C3A07766"/>
    <w:lvl w:ilvl="0" w:tplc="322079F2">
      <w:start w:val="1"/>
      <w:numFmt w:val="upperLetter"/>
      <w:lvlText w:val="%1."/>
      <w:lvlJc w:val="left"/>
      <w:pPr>
        <w:ind w:left="1080" w:hanging="360"/>
      </w:pPr>
      <w:rPr>
        <w:rFonts w:hint="default"/>
      </w:rPr>
    </w:lvl>
    <w:lvl w:ilvl="1" w:tplc="FBBE2E6C">
      <w:start w:val="1"/>
      <w:numFmt w:val="lowerLetter"/>
      <w:lvlText w:val="%2."/>
      <w:lvlJc w:val="lef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223840"/>
    <w:multiLevelType w:val="hybridMultilevel"/>
    <w:tmpl w:val="39D647CC"/>
    <w:lvl w:ilvl="0" w:tplc="D730E8F8">
      <w:start w:val="1"/>
      <w:numFmt w:val="decimal"/>
      <w:lvlText w:val="%1."/>
      <w:lvlJc w:val="left"/>
      <w:pPr>
        <w:tabs>
          <w:tab w:val="num" w:pos="2880"/>
        </w:tabs>
        <w:ind w:left="2880" w:hanging="1440"/>
      </w:pPr>
      <w:rPr>
        <w:rFonts w:hint="default"/>
      </w:rPr>
    </w:lvl>
    <w:lvl w:ilvl="1" w:tplc="04090019">
      <w:start w:val="1"/>
      <w:numFmt w:val="lowerLetter"/>
      <w:lvlText w:val="%2."/>
      <w:lvlJc w:val="left"/>
      <w:pPr>
        <w:tabs>
          <w:tab w:val="num" w:pos="2520"/>
        </w:tabs>
        <w:ind w:left="2520" w:hanging="360"/>
      </w:pPr>
    </w:lvl>
    <w:lvl w:ilvl="2" w:tplc="CE90055C">
      <w:start w:val="1"/>
      <w:numFmt w:val="decimal"/>
      <w:lvlText w:val="(%3)"/>
      <w:lvlJc w:val="right"/>
      <w:pPr>
        <w:tabs>
          <w:tab w:val="num" w:pos="3240"/>
        </w:tabs>
        <w:ind w:left="3240" w:hanging="180"/>
      </w:pPr>
      <w:rPr>
        <w:rFonts w:ascii="Times New Roman" w:eastAsiaTheme="minorHAnsi" w:hAnsi="Times New Roman" w:cs="Times New Roman"/>
      </w:rPr>
    </w:lvl>
    <w:lvl w:ilvl="3" w:tplc="0409000F" w:tentative="1">
      <w:start w:val="1"/>
      <w:numFmt w:val="decimal"/>
      <w:lvlText w:val="%4."/>
      <w:lvlJc w:val="left"/>
      <w:pPr>
        <w:tabs>
          <w:tab w:val="num" w:pos="3960"/>
        </w:tabs>
        <w:ind w:left="3960" w:hanging="360"/>
      </w:pPr>
    </w:lvl>
    <w:lvl w:ilvl="4" w:tplc="B19C255C">
      <w:start w:val="1"/>
      <w:numFmt w:val="decimal"/>
      <w:lvlText w:val="(%5)"/>
      <w:lvlJc w:val="left"/>
      <w:pPr>
        <w:tabs>
          <w:tab w:val="num" w:pos="4680"/>
        </w:tabs>
        <w:ind w:left="4680" w:hanging="360"/>
      </w:pPr>
      <w:rPr>
        <w:rFonts w:ascii="Times New Roman" w:eastAsia="Times New Roman" w:hAnsi="Times New Roman" w:cs="Times New Roman"/>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4EA9791F"/>
    <w:multiLevelType w:val="hybridMultilevel"/>
    <w:tmpl w:val="CC5C6972"/>
    <w:lvl w:ilvl="0" w:tplc="BE46F5DA">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FBE67EA"/>
    <w:multiLevelType w:val="hybridMultilevel"/>
    <w:tmpl w:val="CF102B3E"/>
    <w:lvl w:ilvl="0" w:tplc="C766268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4093127"/>
    <w:multiLevelType w:val="hybridMultilevel"/>
    <w:tmpl w:val="133AD8DA"/>
    <w:lvl w:ilvl="0" w:tplc="FFE0D122">
      <w:start w:val="1"/>
      <w:numFmt w:val="decimal"/>
      <w:lvlText w:val="(%1)"/>
      <w:lvlJc w:val="left"/>
      <w:pPr>
        <w:ind w:left="1800" w:hanging="360"/>
      </w:pPr>
      <w:rPr>
        <w:rFonts w:ascii="Times New Roman" w:eastAsiaTheme="minorHAnsi" w:hAnsi="Times New Roman" w:cs="Times New Roman"/>
      </w:rPr>
    </w:lvl>
    <w:lvl w:ilvl="1" w:tplc="A09C1C44">
      <w:start w:val="1"/>
      <w:numFmt w:val="lowerLetter"/>
      <w:lvlText w:val="(%2)"/>
      <w:lvlJc w:val="left"/>
      <w:pPr>
        <w:ind w:left="2520" w:hanging="360"/>
      </w:pPr>
      <w:rPr>
        <w:rFonts w:ascii="Times New Roman" w:eastAsiaTheme="minorHAnsi" w:hAnsi="Times New Roman" w:cs="Times New Roman"/>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15:restartNumberingAfterBreak="0">
    <w:nsid w:val="541318AF"/>
    <w:multiLevelType w:val="hybridMultilevel"/>
    <w:tmpl w:val="880C9B82"/>
    <w:lvl w:ilvl="0" w:tplc="DF729C6C">
      <w:start w:val="1"/>
      <w:numFmt w:val="decimal"/>
      <w:lvlText w:val="%1."/>
      <w:lvlJc w:val="left"/>
      <w:pPr>
        <w:tabs>
          <w:tab w:val="num" w:pos="2880"/>
        </w:tabs>
        <w:ind w:left="2880" w:hanging="1440"/>
      </w:pPr>
      <w:rPr>
        <w:rFonts w:hint="default"/>
      </w:rPr>
    </w:lvl>
    <w:lvl w:ilvl="1" w:tplc="9B14C4F0">
      <w:start w:val="1"/>
      <w:numFmt w:val="lowerLetter"/>
      <w:lvlText w:val="%2."/>
      <w:lvlJc w:val="left"/>
      <w:pPr>
        <w:tabs>
          <w:tab w:val="num" w:pos="2520"/>
        </w:tabs>
        <w:ind w:left="2520" w:hanging="360"/>
      </w:pPr>
      <w:rPr>
        <w:rFonts w:hint="default"/>
      </w:rPr>
    </w:lvl>
    <w:lvl w:ilvl="2" w:tplc="1FC08816">
      <w:start w:val="1"/>
      <w:numFmt w:val="lowerRoman"/>
      <w:lvlText w:val="(%3)"/>
      <w:lvlJc w:val="left"/>
      <w:pPr>
        <w:tabs>
          <w:tab w:val="num" w:pos="3780"/>
        </w:tabs>
        <w:ind w:left="3780" w:hanging="720"/>
      </w:pPr>
      <w:rPr>
        <w:rFonts w:hint="default"/>
      </w:rPr>
    </w:lvl>
    <w:lvl w:ilvl="3" w:tplc="30663208">
      <w:start w:val="8"/>
      <w:numFmt w:val="upperLetter"/>
      <w:lvlText w:val="%4."/>
      <w:lvlJc w:val="left"/>
      <w:pPr>
        <w:ind w:left="3960" w:hanging="360"/>
      </w:pPr>
      <w:rPr>
        <w:rFonts w:hint="default"/>
      </w:rPr>
    </w:lvl>
    <w:lvl w:ilvl="4" w:tplc="78E452FA">
      <w:start w:val="1"/>
      <w:numFmt w:val="decimal"/>
      <w:lvlText w:val="(%5)"/>
      <w:lvlJc w:val="left"/>
      <w:pPr>
        <w:ind w:left="3540" w:hanging="390"/>
      </w:pPr>
      <w:rPr>
        <w:rFonts w:ascii="Times New Roman" w:eastAsiaTheme="minorHAnsi" w:hAnsi="Times New Roman" w:cstheme="minorBidi"/>
      </w:rPr>
    </w:lvl>
    <w:lvl w:ilvl="5" w:tplc="4CF276BE">
      <w:start w:val="1"/>
      <w:numFmt w:val="lowerLetter"/>
      <w:lvlText w:val="%6."/>
      <w:lvlJc w:val="left"/>
      <w:pPr>
        <w:ind w:left="5580" w:hanging="360"/>
      </w:pPr>
      <w:rPr>
        <w:rFonts w:ascii="Times New Roman" w:eastAsiaTheme="minorHAnsi" w:hAnsi="Times New Roman" w:cstheme="minorBidi"/>
      </w:rPr>
    </w:lvl>
    <w:lvl w:ilvl="6" w:tplc="56906C7E">
      <w:start w:val="1"/>
      <w:numFmt w:val="decimal"/>
      <w:lvlText w:val="(%7)"/>
      <w:lvlJc w:val="left"/>
      <w:pPr>
        <w:ind w:left="6120" w:hanging="360"/>
      </w:pPr>
      <w:rPr>
        <w:rFonts w:hint="default"/>
      </w:rPr>
    </w:lvl>
    <w:lvl w:ilvl="7" w:tplc="30A484A8">
      <w:start w:val="1"/>
      <w:numFmt w:val="upperRoman"/>
      <w:lvlText w:val="%8."/>
      <w:lvlJc w:val="left"/>
      <w:pPr>
        <w:ind w:left="7200" w:hanging="720"/>
      </w:pPr>
      <w:rPr>
        <w:rFonts w:hint="default"/>
      </w:rPr>
    </w:lvl>
    <w:lvl w:ilvl="8" w:tplc="0409001B" w:tentative="1">
      <w:start w:val="1"/>
      <w:numFmt w:val="lowerRoman"/>
      <w:lvlText w:val="%9."/>
      <w:lvlJc w:val="right"/>
      <w:pPr>
        <w:tabs>
          <w:tab w:val="num" w:pos="7560"/>
        </w:tabs>
        <w:ind w:left="7560" w:hanging="180"/>
      </w:pPr>
    </w:lvl>
  </w:abstractNum>
  <w:abstractNum w:abstractNumId="35" w15:restartNumberingAfterBreak="0">
    <w:nsid w:val="56D57BC2"/>
    <w:multiLevelType w:val="hybridMultilevel"/>
    <w:tmpl w:val="EEFCD2E0"/>
    <w:lvl w:ilvl="0" w:tplc="50B46B8C">
      <w:start w:val="1"/>
      <w:numFmt w:val="lowerLetter"/>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8B3152F"/>
    <w:multiLevelType w:val="hybridMultilevel"/>
    <w:tmpl w:val="0622960A"/>
    <w:lvl w:ilvl="0" w:tplc="974A7D6A">
      <w:start w:val="1"/>
      <w:numFmt w:val="lowerLetter"/>
      <w:lvlText w:val="%1."/>
      <w:lvlJc w:val="left"/>
      <w:pPr>
        <w:ind w:left="2160" w:hanging="360"/>
      </w:pPr>
      <w:rPr>
        <w:rFonts w:ascii="Times New Roman" w:eastAsiaTheme="minorHAnsi" w:hAnsi="Times New Roman"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1E021E0"/>
    <w:multiLevelType w:val="hybridMultilevel"/>
    <w:tmpl w:val="4F8055BC"/>
    <w:lvl w:ilvl="0" w:tplc="88DA9C82">
      <w:start w:val="1"/>
      <w:numFmt w:val="lowerLetter"/>
      <w:lvlText w:val="(%1)"/>
      <w:lvlJc w:val="left"/>
      <w:pPr>
        <w:ind w:left="3960" w:hanging="360"/>
      </w:pPr>
      <w:rPr>
        <w:rFonts w:ascii="Times New Roman" w:eastAsiaTheme="minorHAnsi" w:hAnsi="Times New Roman" w:cstheme="minorBidi"/>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8" w15:restartNumberingAfterBreak="0">
    <w:nsid w:val="668F4EB2"/>
    <w:multiLevelType w:val="hybridMultilevel"/>
    <w:tmpl w:val="4B52FAEC"/>
    <w:lvl w:ilvl="0" w:tplc="EFAE7E9A">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9" w15:restartNumberingAfterBreak="0">
    <w:nsid w:val="66DD043F"/>
    <w:multiLevelType w:val="hybridMultilevel"/>
    <w:tmpl w:val="F4700DAC"/>
    <w:lvl w:ilvl="0" w:tplc="D1568E40">
      <w:start w:val="1"/>
      <w:numFmt w:val="lowerLetter"/>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86366B9"/>
    <w:multiLevelType w:val="hybridMultilevel"/>
    <w:tmpl w:val="44CCBFC2"/>
    <w:lvl w:ilvl="0" w:tplc="FCD28D38">
      <w:start w:val="1"/>
      <w:numFmt w:val="lowerLetter"/>
      <w:lvlText w:val="%1."/>
      <w:lvlJc w:val="left"/>
      <w:pPr>
        <w:ind w:left="1800" w:hanging="360"/>
      </w:pPr>
      <w:rPr>
        <w:rFonts w:ascii="Times New Roman" w:eastAsiaTheme="minorHAnsi"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9926541"/>
    <w:multiLevelType w:val="hybridMultilevel"/>
    <w:tmpl w:val="170681F8"/>
    <w:lvl w:ilvl="0" w:tplc="A720FEA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C02A50"/>
    <w:multiLevelType w:val="multilevel"/>
    <w:tmpl w:val="021C52E6"/>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3" w15:restartNumberingAfterBreak="0">
    <w:nsid w:val="6AED53AE"/>
    <w:multiLevelType w:val="hybridMultilevel"/>
    <w:tmpl w:val="3B94F628"/>
    <w:lvl w:ilvl="0" w:tplc="B6FED1B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32F2936"/>
    <w:multiLevelType w:val="multilevel"/>
    <w:tmpl w:val="F41C65C8"/>
    <w:lvl w:ilvl="0">
      <w:start w:val="2"/>
      <w:numFmt w:val="upperRoman"/>
      <w:pStyle w:val="Work1"/>
      <w:lvlText w:val="%1."/>
      <w:lvlJc w:val="left"/>
      <w:pPr>
        <w:ind w:left="720" w:hanging="720"/>
      </w:pPr>
      <w:rPr>
        <w:rFonts w:hint="default"/>
      </w:rPr>
    </w:lvl>
    <w:lvl w:ilvl="1">
      <w:start w:val="1"/>
      <w:numFmt w:val="upperLetter"/>
      <w:pStyle w:val="Work2"/>
      <w:lvlText w:val="%2."/>
      <w:lvlJc w:val="left"/>
      <w:pPr>
        <w:ind w:left="1440" w:hanging="720"/>
      </w:pPr>
      <w:rPr>
        <w:rFonts w:hint="default"/>
      </w:rPr>
    </w:lvl>
    <w:lvl w:ilvl="2">
      <w:start w:val="1"/>
      <w:numFmt w:val="decimal"/>
      <w:pStyle w:val="Work3"/>
      <w:lvlText w:val="%3."/>
      <w:lvlJc w:val="left"/>
      <w:pPr>
        <w:ind w:left="2160" w:hanging="720"/>
      </w:pPr>
      <w:rPr>
        <w:rFonts w:hint="default"/>
      </w:rPr>
    </w:lvl>
    <w:lvl w:ilvl="3">
      <w:start w:val="1"/>
      <w:numFmt w:val="lowerLetter"/>
      <w:pStyle w:val="Work4"/>
      <w:lvlText w:val="%4."/>
      <w:lvlJc w:val="left"/>
      <w:pPr>
        <w:ind w:left="2880" w:hanging="720"/>
      </w:pPr>
      <w:rPr>
        <w:rFonts w:hint="default"/>
      </w:rPr>
    </w:lvl>
    <w:lvl w:ilvl="4">
      <w:start w:val="1"/>
      <w:numFmt w:val="decimal"/>
      <w:pStyle w:val="Work5"/>
      <w:lvlText w:val="(%5)"/>
      <w:lvlJc w:val="left"/>
      <w:pPr>
        <w:ind w:left="3600" w:hanging="720"/>
      </w:pPr>
      <w:rPr>
        <w:rFonts w:ascii="Times New Roman" w:eastAsiaTheme="minorHAnsi" w:hAnsi="Times New Roman" w:cstheme="minorBidi"/>
      </w:rPr>
    </w:lvl>
    <w:lvl w:ilvl="5">
      <w:start w:val="1"/>
      <w:numFmt w:val="lowerLetter"/>
      <w:pStyle w:val="Work6"/>
      <w:lvlText w:val="(%6)"/>
      <w:lvlJc w:val="left"/>
      <w:pPr>
        <w:ind w:left="4320" w:hanging="720"/>
      </w:pPr>
      <w:rPr>
        <w:rFonts w:hint="default"/>
      </w:rPr>
    </w:lvl>
    <w:lvl w:ilvl="6">
      <w:start w:val="1"/>
      <w:numFmt w:val="decimal"/>
      <w:pStyle w:val="Work7"/>
      <w:lvlText w:val="(%7)"/>
      <w:lvlJc w:val="left"/>
      <w:pPr>
        <w:ind w:left="5040" w:hanging="720"/>
      </w:pPr>
      <w:rPr>
        <w:rFonts w:hint="default"/>
      </w:rPr>
    </w:lvl>
    <w:lvl w:ilvl="7">
      <w:start w:val="1"/>
      <w:numFmt w:val="lowerLetter"/>
      <w:pStyle w:val="Work8"/>
      <w:lvlText w:val="%8."/>
      <w:lvlJc w:val="left"/>
      <w:pPr>
        <w:ind w:left="5760" w:hanging="720"/>
      </w:pPr>
      <w:rPr>
        <w:rFonts w:hint="default"/>
      </w:rPr>
    </w:lvl>
    <w:lvl w:ilvl="8">
      <w:start w:val="1"/>
      <w:numFmt w:val="lowerRoman"/>
      <w:pStyle w:val="Work9"/>
      <w:lvlText w:val="%9."/>
      <w:lvlJc w:val="left"/>
      <w:pPr>
        <w:ind w:left="6480" w:hanging="720"/>
      </w:pPr>
      <w:rPr>
        <w:rFonts w:hint="default"/>
      </w:rPr>
    </w:lvl>
  </w:abstractNum>
  <w:abstractNum w:abstractNumId="45" w15:restartNumberingAfterBreak="0">
    <w:nsid w:val="74275777"/>
    <w:multiLevelType w:val="hybridMultilevel"/>
    <w:tmpl w:val="ACC6AA00"/>
    <w:lvl w:ilvl="0" w:tplc="8834DDC8">
      <w:start w:val="1"/>
      <w:numFmt w:val="lowerLetter"/>
      <w:lvlText w:val="%1."/>
      <w:lvlJc w:val="left"/>
      <w:pPr>
        <w:tabs>
          <w:tab w:val="num" w:pos="2520"/>
        </w:tabs>
        <w:ind w:left="2520" w:hanging="360"/>
      </w:pPr>
      <w:rPr>
        <w:rFonts w:hint="default"/>
      </w:rPr>
    </w:lvl>
    <w:lvl w:ilvl="1" w:tplc="C8E4752C">
      <w:start w:val="1"/>
      <w:numFmt w:val="decimal"/>
      <w:lvlText w:val="%2."/>
      <w:lvlJc w:val="left"/>
      <w:pPr>
        <w:tabs>
          <w:tab w:val="num" w:pos="4320"/>
        </w:tabs>
        <w:ind w:left="4320" w:hanging="1440"/>
      </w:pPr>
      <w:rPr>
        <w:rFonts w:hint="default"/>
      </w:r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485452F2">
      <w:start w:val="7"/>
      <w:numFmt w:val="upperLetter"/>
      <w:lvlText w:val="%7."/>
      <w:lvlJc w:val="left"/>
      <w:pPr>
        <w:ind w:left="6840" w:hanging="360"/>
      </w:pPr>
      <w:rPr>
        <w:rFonts w:hint="default"/>
      </w:r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6" w15:restartNumberingAfterBreak="0">
    <w:nsid w:val="749C5A95"/>
    <w:multiLevelType w:val="hybridMultilevel"/>
    <w:tmpl w:val="15FA64F4"/>
    <w:lvl w:ilvl="0" w:tplc="CE505BAE">
      <w:start w:val="1"/>
      <w:numFmt w:val="decimal"/>
      <w:lvlText w:val="%1."/>
      <w:lvlJc w:val="left"/>
      <w:pPr>
        <w:tabs>
          <w:tab w:val="num" w:pos="2160"/>
        </w:tabs>
        <w:ind w:left="2160" w:hanging="1440"/>
      </w:pPr>
      <w:rPr>
        <w:rFonts w:hint="default"/>
      </w:rPr>
    </w:lvl>
    <w:lvl w:ilvl="1" w:tplc="374A8D1C">
      <w:start w:val="1"/>
      <w:numFmt w:val="decimal"/>
      <w:lvlText w:val="%2."/>
      <w:lvlJc w:val="left"/>
      <w:pPr>
        <w:tabs>
          <w:tab w:val="num" w:pos="2880"/>
        </w:tabs>
        <w:ind w:left="2880" w:hanging="1440"/>
      </w:pPr>
      <w:rPr>
        <w:rFonts w:hint="default"/>
      </w:rPr>
    </w:lvl>
    <w:lvl w:ilvl="2" w:tplc="5A2A618A">
      <w:start w:val="1"/>
      <w:numFmt w:val="lowerLetter"/>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59186EB0">
      <w:start w:val="2"/>
      <w:numFmt w:val="decimal"/>
      <w:lvlText w:val="(%7)"/>
      <w:lvlJc w:val="left"/>
      <w:pPr>
        <w:ind w:left="5400" w:hanging="360"/>
      </w:pPr>
      <w:rPr>
        <w:rFonts w:hint="default"/>
      </w:r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95A389D"/>
    <w:multiLevelType w:val="multilevel"/>
    <w:tmpl w:val="DCF89058"/>
    <w:numStyleLink w:val="OutlineStyles"/>
  </w:abstractNum>
  <w:num w:numId="1">
    <w:abstractNumId w:val="5"/>
  </w:num>
  <w:num w:numId="2">
    <w:abstractNumId w:val="44"/>
  </w:num>
  <w:num w:numId="3">
    <w:abstractNumId w:val="1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4"/>
  </w:num>
  <w:num w:numId="12">
    <w:abstractNumId w:val="1"/>
  </w:num>
  <w:num w:numId="13">
    <w:abstractNumId w:val="7"/>
  </w:num>
  <w:num w:numId="14">
    <w:abstractNumId w:val="47"/>
  </w:num>
  <w:num w:numId="15">
    <w:abstractNumId w:val="42"/>
  </w:num>
  <w:num w:numId="16">
    <w:abstractNumId w:val="6"/>
  </w:num>
  <w:num w:numId="17">
    <w:abstractNumId w:val="18"/>
  </w:num>
  <w:num w:numId="18">
    <w:abstractNumId w:val="13"/>
  </w:num>
  <w:num w:numId="19">
    <w:abstractNumId w:val="21"/>
  </w:num>
  <w:num w:numId="20">
    <w:abstractNumId w:val="12"/>
  </w:num>
  <w:num w:numId="21">
    <w:abstractNumId w:val="30"/>
  </w:num>
  <w:num w:numId="22">
    <w:abstractNumId w:val="16"/>
  </w:num>
  <w:num w:numId="23">
    <w:abstractNumId w:val="25"/>
  </w:num>
  <w:num w:numId="24">
    <w:abstractNumId w:val="31"/>
  </w:num>
  <w:num w:numId="25">
    <w:abstractNumId w:val="4"/>
  </w:num>
  <w:num w:numId="26">
    <w:abstractNumId w:val="20"/>
  </w:num>
  <w:num w:numId="27">
    <w:abstractNumId w:val="36"/>
  </w:num>
  <w:num w:numId="28">
    <w:abstractNumId w:val="32"/>
  </w:num>
  <w:num w:numId="29">
    <w:abstractNumId w:val="24"/>
  </w:num>
  <w:num w:numId="30">
    <w:abstractNumId w:val="40"/>
  </w:num>
  <w:num w:numId="31">
    <w:abstractNumId w:val="39"/>
  </w:num>
  <w:num w:numId="32">
    <w:abstractNumId w:val="26"/>
  </w:num>
  <w:num w:numId="33">
    <w:abstractNumId w:val="43"/>
  </w:num>
  <w:num w:numId="34">
    <w:abstractNumId w:val="3"/>
  </w:num>
  <w:num w:numId="35">
    <w:abstractNumId w:val="41"/>
  </w:num>
  <w:num w:numId="36">
    <w:abstractNumId w:val="11"/>
  </w:num>
  <w:num w:numId="37">
    <w:abstractNumId w:val="35"/>
  </w:num>
  <w:num w:numId="38">
    <w:abstractNumId w:val="0"/>
  </w:num>
  <w:num w:numId="39">
    <w:abstractNumId w:val="27"/>
  </w:num>
  <w:num w:numId="40">
    <w:abstractNumId w:val="37"/>
  </w:num>
  <w:num w:numId="41">
    <w:abstractNumId w:val="2"/>
  </w:num>
  <w:num w:numId="42">
    <w:abstractNumId w:val="19"/>
  </w:num>
  <w:num w:numId="43">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8"/>
  </w:num>
  <w:num w:numId="46">
    <w:abstractNumId w:val="28"/>
  </w:num>
  <w:num w:numId="47">
    <w:abstractNumId w:val="10"/>
  </w:num>
  <w:num w:numId="48">
    <w:abstractNumId w:val="45"/>
  </w:num>
  <w:num w:numId="49">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5E"/>
    <w:rsid w:val="00000FF3"/>
    <w:rsid w:val="00001F33"/>
    <w:rsid w:val="00003983"/>
    <w:rsid w:val="000120E9"/>
    <w:rsid w:val="0001242A"/>
    <w:rsid w:val="0001340A"/>
    <w:rsid w:val="0001406F"/>
    <w:rsid w:val="000142E0"/>
    <w:rsid w:val="0001482F"/>
    <w:rsid w:val="00016C93"/>
    <w:rsid w:val="00020927"/>
    <w:rsid w:val="00020F3B"/>
    <w:rsid w:val="0002117A"/>
    <w:rsid w:val="00024AF1"/>
    <w:rsid w:val="00027106"/>
    <w:rsid w:val="00027240"/>
    <w:rsid w:val="00027289"/>
    <w:rsid w:val="00027743"/>
    <w:rsid w:val="0002782E"/>
    <w:rsid w:val="00031ACF"/>
    <w:rsid w:val="000325CF"/>
    <w:rsid w:val="00032BBA"/>
    <w:rsid w:val="00032E90"/>
    <w:rsid w:val="00032F42"/>
    <w:rsid w:val="00033B00"/>
    <w:rsid w:val="000346FE"/>
    <w:rsid w:val="00035B0D"/>
    <w:rsid w:val="000363E8"/>
    <w:rsid w:val="00036BB1"/>
    <w:rsid w:val="00037923"/>
    <w:rsid w:val="00037AD3"/>
    <w:rsid w:val="000409AC"/>
    <w:rsid w:val="0004149C"/>
    <w:rsid w:val="00041978"/>
    <w:rsid w:val="0004318C"/>
    <w:rsid w:val="0004423F"/>
    <w:rsid w:val="00044C47"/>
    <w:rsid w:val="00045714"/>
    <w:rsid w:val="00046EF3"/>
    <w:rsid w:val="00047547"/>
    <w:rsid w:val="00050FB4"/>
    <w:rsid w:val="0005125E"/>
    <w:rsid w:val="00051729"/>
    <w:rsid w:val="00053C40"/>
    <w:rsid w:val="000553C2"/>
    <w:rsid w:val="00055DCD"/>
    <w:rsid w:val="00055DE3"/>
    <w:rsid w:val="00055DFF"/>
    <w:rsid w:val="000605AA"/>
    <w:rsid w:val="00060F01"/>
    <w:rsid w:val="00061C9D"/>
    <w:rsid w:val="00062B70"/>
    <w:rsid w:val="0006716E"/>
    <w:rsid w:val="00067243"/>
    <w:rsid w:val="00067EF4"/>
    <w:rsid w:val="00070192"/>
    <w:rsid w:val="00071790"/>
    <w:rsid w:val="00071FAC"/>
    <w:rsid w:val="00072718"/>
    <w:rsid w:val="000733D5"/>
    <w:rsid w:val="00075A62"/>
    <w:rsid w:val="00076042"/>
    <w:rsid w:val="0007697D"/>
    <w:rsid w:val="0008047D"/>
    <w:rsid w:val="000810FD"/>
    <w:rsid w:val="000835CF"/>
    <w:rsid w:val="00083D3E"/>
    <w:rsid w:val="000840C9"/>
    <w:rsid w:val="00085DDD"/>
    <w:rsid w:val="00086602"/>
    <w:rsid w:val="00086D35"/>
    <w:rsid w:val="0008793C"/>
    <w:rsid w:val="0009049C"/>
    <w:rsid w:val="0009081F"/>
    <w:rsid w:val="00092C14"/>
    <w:rsid w:val="00092DB9"/>
    <w:rsid w:val="000935CB"/>
    <w:rsid w:val="00093AA1"/>
    <w:rsid w:val="00094054"/>
    <w:rsid w:val="000944ED"/>
    <w:rsid w:val="0009531E"/>
    <w:rsid w:val="0009656E"/>
    <w:rsid w:val="00096A30"/>
    <w:rsid w:val="00096CD5"/>
    <w:rsid w:val="000975DF"/>
    <w:rsid w:val="00097D9F"/>
    <w:rsid w:val="000A286C"/>
    <w:rsid w:val="000A2AAE"/>
    <w:rsid w:val="000A4C3A"/>
    <w:rsid w:val="000A4C42"/>
    <w:rsid w:val="000A6015"/>
    <w:rsid w:val="000A63FB"/>
    <w:rsid w:val="000B10BA"/>
    <w:rsid w:val="000B1275"/>
    <w:rsid w:val="000B1692"/>
    <w:rsid w:val="000B1728"/>
    <w:rsid w:val="000B4280"/>
    <w:rsid w:val="000B5253"/>
    <w:rsid w:val="000B56C4"/>
    <w:rsid w:val="000B59C6"/>
    <w:rsid w:val="000B65F9"/>
    <w:rsid w:val="000B7293"/>
    <w:rsid w:val="000B7BCE"/>
    <w:rsid w:val="000C161B"/>
    <w:rsid w:val="000C181E"/>
    <w:rsid w:val="000C1A64"/>
    <w:rsid w:val="000C301E"/>
    <w:rsid w:val="000C5FCD"/>
    <w:rsid w:val="000D0D48"/>
    <w:rsid w:val="000D163D"/>
    <w:rsid w:val="000D4A36"/>
    <w:rsid w:val="000D4C06"/>
    <w:rsid w:val="000D569D"/>
    <w:rsid w:val="000E014D"/>
    <w:rsid w:val="000E08E3"/>
    <w:rsid w:val="000E0C12"/>
    <w:rsid w:val="000E0C6C"/>
    <w:rsid w:val="000E0F37"/>
    <w:rsid w:val="000E1FCE"/>
    <w:rsid w:val="000E2456"/>
    <w:rsid w:val="000E48E8"/>
    <w:rsid w:val="000E4918"/>
    <w:rsid w:val="000E5A6B"/>
    <w:rsid w:val="000E5E8B"/>
    <w:rsid w:val="000F13C1"/>
    <w:rsid w:val="000F2599"/>
    <w:rsid w:val="000F2F43"/>
    <w:rsid w:val="000F396A"/>
    <w:rsid w:val="000F40DD"/>
    <w:rsid w:val="000F4F0A"/>
    <w:rsid w:val="000F5ACA"/>
    <w:rsid w:val="0010008B"/>
    <w:rsid w:val="00100092"/>
    <w:rsid w:val="00102A6E"/>
    <w:rsid w:val="00103D30"/>
    <w:rsid w:val="00105E7B"/>
    <w:rsid w:val="00106A5D"/>
    <w:rsid w:val="00107324"/>
    <w:rsid w:val="00110202"/>
    <w:rsid w:val="0011074F"/>
    <w:rsid w:val="00110C00"/>
    <w:rsid w:val="001120A4"/>
    <w:rsid w:val="00113D3C"/>
    <w:rsid w:val="0011406A"/>
    <w:rsid w:val="00114D49"/>
    <w:rsid w:val="00115CC5"/>
    <w:rsid w:val="0011670C"/>
    <w:rsid w:val="001167CD"/>
    <w:rsid w:val="00117574"/>
    <w:rsid w:val="00120E5C"/>
    <w:rsid w:val="00120F2F"/>
    <w:rsid w:val="001214E7"/>
    <w:rsid w:val="001234EE"/>
    <w:rsid w:val="00125D4C"/>
    <w:rsid w:val="001265B0"/>
    <w:rsid w:val="001275B0"/>
    <w:rsid w:val="0012782E"/>
    <w:rsid w:val="00130C13"/>
    <w:rsid w:val="00133A08"/>
    <w:rsid w:val="00133CEB"/>
    <w:rsid w:val="00133EB3"/>
    <w:rsid w:val="00134264"/>
    <w:rsid w:val="00134F2F"/>
    <w:rsid w:val="00134FA8"/>
    <w:rsid w:val="00135023"/>
    <w:rsid w:val="00135104"/>
    <w:rsid w:val="00135633"/>
    <w:rsid w:val="00136920"/>
    <w:rsid w:val="00136987"/>
    <w:rsid w:val="00140657"/>
    <w:rsid w:val="00140B5A"/>
    <w:rsid w:val="001416B5"/>
    <w:rsid w:val="001426BA"/>
    <w:rsid w:val="00142E52"/>
    <w:rsid w:val="00144E26"/>
    <w:rsid w:val="00145B8D"/>
    <w:rsid w:val="00146981"/>
    <w:rsid w:val="00146A10"/>
    <w:rsid w:val="00151704"/>
    <w:rsid w:val="0015319D"/>
    <w:rsid w:val="00154567"/>
    <w:rsid w:val="00154EA1"/>
    <w:rsid w:val="001561EE"/>
    <w:rsid w:val="0016280B"/>
    <w:rsid w:val="001643C8"/>
    <w:rsid w:val="00165B7E"/>
    <w:rsid w:val="00165C24"/>
    <w:rsid w:val="001663DE"/>
    <w:rsid w:val="00170E01"/>
    <w:rsid w:val="00170F2A"/>
    <w:rsid w:val="001738B4"/>
    <w:rsid w:val="001762BA"/>
    <w:rsid w:val="001776B3"/>
    <w:rsid w:val="001801EB"/>
    <w:rsid w:val="0018165B"/>
    <w:rsid w:val="001821BB"/>
    <w:rsid w:val="001831E2"/>
    <w:rsid w:val="001835CD"/>
    <w:rsid w:val="00184801"/>
    <w:rsid w:val="00184BB7"/>
    <w:rsid w:val="0018505D"/>
    <w:rsid w:val="00186A6E"/>
    <w:rsid w:val="00190BFC"/>
    <w:rsid w:val="00192E96"/>
    <w:rsid w:val="00193550"/>
    <w:rsid w:val="001943BE"/>
    <w:rsid w:val="00196274"/>
    <w:rsid w:val="001963AB"/>
    <w:rsid w:val="00197177"/>
    <w:rsid w:val="001A017B"/>
    <w:rsid w:val="001A1EC0"/>
    <w:rsid w:val="001A4029"/>
    <w:rsid w:val="001A4A99"/>
    <w:rsid w:val="001A54B3"/>
    <w:rsid w:val="001A6143"/>
    <w:rsid w:val="001A6F48"/>
    <w:rsid w:val="001A760F"/>
    <w:rsid w:val="001B053B"/>
    <w:rsid w:val="001B0A3E"/>
    <w:rsid w:val="001B17AD"/>
    <w:rsid w:val="001B2422"/>
    <w:rsid w:val="001B2793"/>
    <w:rsid w:val="001B2D29"/>
    <w:rsid w:val="001B2F26"/>
    <w:rsid w:val="001B3C20"/>
    <w:rsid w:val="001B4FE6"/>
    <w:rsid w:val="001B4FF2"/>
    <w:rsid w:val="001B687F"/>
    <w:rsid w:val="001B70B8"/>
    <w:rsid w:val="001B7BCE"/>
    <w:rsid w:val="001C04A7"/>
    <w:rsid w:val="001C1227"/>
    <w:rsid w:val="001C26D9"/>
    <w:rsid w:val="001C29CA"/>
    <w:rsid w:val="001C36ED"/>
    <w:rsid w:val="001C53E3"/>
    <w:rsid w:val="001C5980"/>
    <w:rsid w:val="001C6562"/>
    <w:rsid w:val="001C6F15"/>
    <w:rsid w:val="001D1921"/>
    <w:rsid w:val="001D1982"/>
    <w:rsid w:val="001D2508"/>
    <w:rsid w:val="001D2E07"/>
    <w:rsid w:val="001D2EDF"/>
    <w:rsid w:val="001D3088"/>
    <w:rsid w:val="001D3A47"/>
    <w:rsid w:val="001D7569"/>
    <w:rsid w:val="001E0CB2"/>
    <w:rsid w:val="001E15D0"/>
    <w:rsid w:val="001E6D5E"/>
    <w:rsid w:val="001E7FDF"/>
    <w:rsid w:val="001F138B"/>
    <w:rsid w:val="001F240E"/>
    <w:rsid w:val="001F3F53"/>
    <w:rsid w:val="001F6EBA"/>
    <w:rsid w:val="00201B60"/>
    <w:rsid w:val="00202F15"/>
    <w:rsid w:val="002032DC"/>
    <w:rsid w:val="00203B12"/>
    <w:rsid w:val="00203EF4"/>
    <w:rsid w:val="00204017"/>
    <w:rsid w:val="00205379"/>
    <w:rsid w:val="002053EF"/>
    <w:rsid w:val="00205FF5"/>
    <w:rsid w:val="00206187"/>
    <w:rsid w:val="00206728"/>
    <w:rsid w:val="00207175"/>
    <w:rsid w:val="00207D96"/>
    <w:rsid w:val="00210A7E"/>
    <w:rsid w:val="00212678"/>
    <w:rsid w:val="00212C89"/>
    <w:rsid w:val="00213190"/>
    <w:rsid w:val="00213FEE"/>
    <w:rsid w:val="00214C5C"/>
    <w:rsid w:val="00215201"/>
    <w:rsid w:val="00220D1C"/>
    <w:rsid w:val="00221C3D"/>
    <w:rsid w:val="00222EE7"/>
    <w:rsid w:val="00223A94"/>
    <w:rsid w:val="002259D3"/>
    <w:rsid w:val="0022751C"/>
    <w:rsid w:val="00230A7E"/>
    <w:rsid w:val="00230D03"/>
    <w:rsid w:val="002312DF"/>
    <w:rsid w:val="0023149A"/>
    <w:rsid w:val="002316EB"/>
    <w:rsid w:val="0023290F"/>
    <w:rsid w:val="00232929"/>
    <w:rsid w:val="00236302"/>
    <w:rsid w:val="002365E3"/>
    <w:rsid w:val="00236C59"/>
    <w:rsid w:val="00237292"/>
    <w:rsid w:val="00237470"/>
    <w:rsid w:val="00237B11"/>
    <w:rsid w:val="0024076C"/>
    <w:rsid w:val="002416C3"/>
    <w:rsid w:val="0024282F"/>
    <w:rsid w:val="002435C2"/>
    <w:rsid w:val="0024372F"/>
    <w:rsid w:val="00245BE4"/>
    <w:rsid w:val="00247D0B"/>
    <w:rsid w:val="00247EF7"/>
    <w:rsid w:val="002500B1"/>
    <w:rsid w:val="00250130"/>
    <w:rsid w:val="0025054B"/>
    <w:rsid w:val="00250B1E"/>
    <w:rsid w:val="002523BB"/>
    <w:rsid w:val="00252D65"/>
    <w:rsid w:val="0025481E"/>
    <w:rsid w:val="00254CF6"/>
    <w:rsid w:val="00256EE3"/>
    <w:rsid w:val="00256F42"/>
    <w:rsid w:val="00261F48"/>
    <w:rsid w:val="0026206F"/>
    <w:rsid w:val="00264659"/>
    <w:rsid w:val="00265D19"/>
    <w:rsid w:val="002662B2"/>
    <w:rsid w:val="0026716B"/>
    <w:rsid w:val="00270306"/>
    <w:rsid w:val="00272640"/>
    <w:rsid w:val="002731EB"/>
    <w:rsid w:val="00273454"/>
    <w:rsid w:val="00273CD0"/>
    <w:rsid w:val="00276029"/>
    <w:rsid w:val="002764C0"/>
    <w:rsid w:val="002766F9"/>
    <w:rsid w:val="00280218"/>
    <w:rsid w:val="00280A70"/>
    <w:rsid w:val="002813F1"/>
    <w:rsid w:val="00281925"/>
    <w:rsid w:val="002844B0"/>
    <w:rsid w:val="002850CF"/>
    <w:rsid w:val="002863D3"/>
    <w:rsid w:val="002864FA"/>
    <w:rsid w:val="002868B5"/>
    <w:rsid w:val="00290C88"/>
    <w:rsid w:val="002911A2"/>
    <w:rsid w:val="00291658"/>
    <w:rsid w:val="002925F8"/>
    <w:rsid w:val="002954BB"/>
    <w:rsid w:val="002959F4"/>
    <w:rsid w:val="002A02AD"/>
    <w:rsid w:val="002A049D"/>
    <w:rsid w:val="002A1157"/>
    <w:rsid w:val="002A4F4F"/>
    <w:rsid w:val="002A5521"/>
    <w:rsid w:val="002A6909"/>
    <w:rsid w:val="002A79FC"/>
    <w:rsid w:val="002B12B3"/>
    <w:rsid w:val="002B1A6E"/>
    <w:rsid w:val="002B1EBC"/>
    <w:rsid w:val="002B57B4"/>
    <w:rsid w:val="002B7B1C"/>
    <w:rsid w:val="002C0E49"/>
    <w:rsid w:val="002C15D6"/>
    <w:rsid w:val="002C217D"/>
    <w:rsid w:val="002C50B4"/>
    <w:rsid w:val="002C5938"/>
    <w:rsid w:val="002C5AC5"/>
    <w:rsid w:val="002C640A"/>
    <w:rsid w:val="002D1059"/>
    <w:rsid w:val="002D11D1"/>
    <w:rsid w:val="002D202F"/>
    <w:rsid w:val="002D3CFD"/>
    <w:rsid w:val="002D4DDB"/>
    <w:rsid w:val="002D6D71"/>
    <w:rsid w:val="002D6DC2"/>
    <w:rsid w:val="002D7B0C"/>
    <w:rsid w:val="002E0335"/>
    <w:rsid w:val="002E0B1D"/>
    <w:rsid w:val="002E0BCD"/>
    <w:rsid w:val="002E0F7E"/>
    <w:rsid w:val="002E1179"/>
    <w:rsid w:val="002E1328"/>
    <w:rsid w:val="002E2175"/>
    <w:rsid w:val="002E281C"/>
    <w:rsid w:val="002E2BB4"/>
    <w:rsid w:val="002E2C82"/>
    <w:rsid w:val="002E3429"/>
    <w:rsid w:val="002E4411"/>
    <w:rsid w:val="002E4F42"/>
    <w:rsid w:val="002E563D"/>
    <w:rsid w:val="002E5D09"/>
    <w:rsid w:val="002E7576"/>
    <w:rsid w:val="002F124A"/>
    <w:rsid w:val="002F2125"/>
    <w:rsid w:val="002F2656"/>
    <w:rsid w:val="002F5862"/>
    <w:rsid w:val="002F67F4"/>
    <w:rsid w:val="002F6F44"/>
    <w:rsid w:val="002F783B"/>
    <w:rsid w:val="003016A9"/>
    <w:rsid w:val="0030200B"/>
    <w:rsid w:val="00302B98"/>
    <w:rsid w:val="00306644"/>
    <w:rsid w:val="0031109B"/>
    <w:rsid w:val="003123D7"/>
    <w:rsid w:val="003127CA"/>
    <w:rsid w:val="0031676A"/>
    <w:rsid w:val="00316A17"/>
    <w:rsid w:val="00321207"/>
    <w:rsid w:val="00327674"/>
    <w:rsid w:val="00327BFC"/>
    <w:rsid w:val="003300D3"/>
    <w:rsid w:val="003305B0"/>
    <w:rsid w:val="00331475"/>
    <w:rsid w:val="003317CD"/>
    <w:rsid w:val="00331F55"/>
    <w:rsid w:val="00332880"/>
    <w:rsid w:val="00332AAD"/>
    <w:rsid w:val="00332C84"/>
    <w:rsid w:val="00333241"/>
    <w:rsid w:val="003344E0"/>
    <w:rsid w:val="003345F4"/>
    <w:rsid w:val="00334CE0"/>
    <w:rsid w:val="00335289"/>
    <w:rsid w:val="00335CFB"/>
    <w:rsid w:val="00336465"/>
    <w:rsid w:val="00337816"/>
    <w:rsid w:val="00337859"/>
    <w:rsid w:val="00340496"/>
    <w:rsid w:val="00342FBC"/>
    <w:rsid w:val="003432A2"/>
    <w:rsid w:val="003437E5"/>
    <w:rsid w:val="00345D7D"/>
    <w:rsid w:val="0034639A"/>
    <w:rsid w:val="00346BC1"/>
    <w:rsid w:val="00347573"/>
    <w:rsid w:val="003516C5"/>
    <w:rsid w:val="00354E77"/>
    <w:rsid w:val="00355EA6"/>
    <w:rsid w:val="00357699"/>
    <w:rsid w:val="00360380"/>
    <w:rsid w:val="00360F9F"/>
    <w:rsid w:val="00361822"/>
    <w:rsid w:val="0036200D"/>
    <w:rsid w:val="003623FF"/>
    <w:rsid w:val="00362D46"/>
    <w:rsid w:val="00366095"/>
    <w:rsid w:val="00366152"/>
    <w:rsid w:val="0036760C"/>
    <w:rsid w:val="00367D61"/>
    <w:rsid w:val="0037077B"/>
    <w:rsid w:val="00371153"/>
    <w:rsid w:val="0037140B"/>
    <w:rsid w:val="00373D2C"/>
    <w:rsid w:val="00374993"/>
    <w:rsid w:val="003758AE"/>
    <w:rsid w:val="0037618E"/>
    <w:rsid w:val="00377246"/>
    <w:rsid w:val="00377B4E"/>
    <w:rsid w:val="00380F3D"/>
    <w:rsid w:val="0038301C"/>
    <w:rsid w:val="00383060"/>
    <w:rsid w:val="00384B0A"/>
    <w:rsid w:val="003851BC"/>
    <w:rsid w:val="00386BA2"/>
    <w:rsid w:val="00386C7A"/>
    <w:rsid w:val="00387F73"/>
    <w:rsid w:val="00390220"/>
    <w:rsid w:val="00390982"/>
    <w:rsid w:val="00391019"/>
    <w:rsid w:val="00391EAD"/>
    <w:rsid w:val="00392FC1"/>
    <w:rsid w:val="0039431F"/>
    <w:rsid w:val="00394BF0"/>
    <w:rsid w:val="00395BB2"/>
    <w:rsid w:val="00397009"/>
    <w:rsid w:val="003977C4"/>
    <w:rsid w:val="003A075A"/>
    <w:rsid w:val="003A0EC9"/>
    <w:rsid w:val="003A346A"/>
    <w:rsid w:val="003A71E9"/>
    <w:rsid w:val="003A7B95"/>
    <w:rsid w:val="003B026C"/>
    <w:rsid w:val="003B04A5"/>
    <w:rsid w:val="003B1125"/>
    <w:rsid w:val="003B127A"/>
    <w:rsid w:val="003B1C90"/>
    <w:rsid w:val="003B3717"/>
    <w:rsid w:val="003B3B38"/>
    <w:rsid w:val="003B4BCB"/>
    <w:rsid w:val="003C0643"/>
    <w:rsid w:val="003C06C2"/>
    <w:rsid w:val="003C0972"/>
    <w:rsid w:val="003C14FB"/>
    <w:rsid w:val="003C282A"/>
    <w:rsid w:val="003C6C9C"/>
    <w:rsid w:val="003C7C78"/>
    <w:rsid w:val="003D0558"/>
    <w:rsid w:val="003D0A4C"/>
    <w:rsid w:val="003D29AD"/>
    <w:rsid w:val="003D3198"/>
    <w:rsid w:val="003D460F"/>
    <w:rsid w:val="003D56EE"/>
    <w:rsid w:val="003D5B05"/>
    <w:rsid w:val="003D6AD0"/>
    <w:rsid w:val="003D6F48"/>
    <w:rsid w:val="003D7185"/>
    <w:rsid w:val="003D7FD7"/>
    <w:rsid w:val="003E158C"/>
    <w:rsid w:val="003E2FDC"/>
    <w:rsid w:val="003E3D70"/>
    <w:rsid w:val="003E41F8"/>
    <w:rsid w:val="003E4276"/>
    <w:rsid w:val="003E42FC"/>
    <w:rsid w:val="003E45F9"/>
    <w:rsid w:val="003E4832"/>
    <w:rsid w:val="003E5885"/>
    <w:rsid w:val="003E5D35"/>
    <w:rsid w:val="003E7104"/>
    <w:rsid w:val="003E7867"/>
    <w:rsid w:val="003F0CA8"/>
    <w:rsid w:val="003F16DA"/>
    <w:rsid w:val="003F33D5"/>
    <w:rsid w:val="003F387B"/>
    <w:rsid w:val="003F394D"/>
    <w:rsid w:val="003F5204"/>
    <w:rsid w:val="0040079C"/>
    <w:rsid w:val="00400E3D"/>
    <w:rsid w:val="00401D6C"/>
    <w:rsid w:val="0040320A"/>
    <w:rsid w:val="00404B50"/>
    <w:rsid w:val="0040571D"/>
    <w:rsid w:val="00410C44"/>
    <w:rsid w:val="0041260C"/>
    <w:rsid w:val="0041286E"/>
    <w:rsid w:val="004129C5"/>
    <w:rsid w:val="00412CC0"/>
    <w:rsid w:val="004130FF"/>
    <w:rsid w:val="004144E5"/>
    <w:rsid w:val="00415434"/>
    <w:rsid w:val="00415FF7"/>
    <w:rsid w:val="0041613D"/>
    <w:rsid w:val="004165F3"/>
    <w:rsid w:val="00416E84"/>
    <w:rsid w:val="00417EBA"/>
    <w:rsid w:val="00421811"/>
    <w:rsid w:val="004224B3"/>
    <w:rsid w:val="004225B4"/>
    <w:rsid w:val="00422B49"/>
    <w:rsid w:val="00423FAA"/>
    <w:rsid w:val="004259A9"/>
    <w:rsid w:val="00430792"/>
    <w:rsid w:val="0043165A"/>
    <w:rsid w:val="00433803"/>
    <w:rsid w:val="00433A69"/>
    <w:rsid w:val="0043405B"/>
    <w:rsid w:val="00434E54"/>
    <w:rsid w:val="00434F30"/>
    <w:rsid w:val="004357F2"/>
    <w:rsid w:val="004378B2"/>
    <w:rsid w:val="00441B18"/>
    <w:rsid w:val="00441FBB"/>
    <w:rsid w:val="00442A13"/>
    <w:rsid w:val="00442D19"/>
    <w:rsid w:val="00442E67"/>
    <w:rsid w:val="00443877"/>
    <w:rsid w:val="00443FBC"/>
    <w:rsid w:val="00444ED7"/>
    <w:rsid w:val="00446543"/>
    <w:rsid w:val="00447E21"/>
    <w:rsid w:val="00450065"/>
    <w:rsid w:val="0045386D"/>
    <w:rsid w:val="00453E06"/>
    <w:rsid w:val="00455A11"/>
    <w:rsid w:val="00455FD9"/>
    <w:rsid w:val="00456558"/>
    <w:rsid w:val="00460984"/>
    <w:rsid w:val="00460DE9"/>
    <w:rsid w:val="00464E59"/>
    <w:rsid w:val="00465420"/>
    <w:rsid w:val="004655C1"/>
    <w:rsid w:val="00472E43"/>
    <w:rsid w:val="00474A1C"/>
    <w:rsid w:val="00474EDC"/>
    <w:rsid w:val="004769F4"/>
    <w:rsid w:val="00477547"/>
    <w:rsid w:val="00481807"/>
    <w:rsid w:val="0048242A"/>
    <w:rsid w:val="004842A4"/>
    <w:rsid w:val="004872CB"/>
    <w:rsid w:val="00487574"/>
    <w:rsid w:val="00487A03"/>
    <w:rsid w:val="00491356"/>
    <w:rsid w:val="004A0E60"/>
    <w:rsid w:val="004A14AC"/>
    <w:rsid w:val="004A22A3"/>
    <w:rsid w:val="004A36A0"/>
    <w:rsid w:val="004A38B1"/>
    <w:rsid w:val="004A3D11"/>
    <w:rsid w:val="004A42AF"/>
    <w:rsid w:val="004A52E6"/>
    <w:rsid w:val="004A543F"/>
    <w:rsid w:val="004A57EC"/>
    <w:rsid w:val="004A5B58"/>
    <w:rsid w:val="004A5BFB"/>
    <w:rsid w:val="004A5D33"/>
    <w:rsid w:val="004A5FF5"/>
    <w:rsid w:val="004A749A"/>
    <w:rsid w:val="004A7F6B"/>
    <w:rsid w:val="004A7FE0"/>
    <w:rsid w:val="004B03E2"/>
    <w:rsid w:val="004B1A64"/>
    <w:rsid w:val="004B2F5B"/>
    <w:rsid w:val="004B320F"/>
    <w:rsid w:val="004B3582"/>
    <w:rsid w:val="004B431A"/>
    <w:rsid w:val="004B4716"/>
    <w:rsid w:val="004B4A60"/>
    <w:rsid w:val="004B5889"/>
    <w:rsid w:val="004B698C"/>
    <w:rsid w:val="004C08DE"/>
    <w:rsid w:val="004C107C"/>
    <w:rsid w:val="004C1744"/>
    <w:rsid w:val="004C20C4"/>
    <w:rsid w:val="004C28C1"/>
    <w:rsid w:val="004C318E"/>
    <w:rsid w:val="004C3B38"/>
    <w:rsid w:val="004C4117"/>
    <w:rsid w:val="004C59FE"/>
    <w:rsid w:val="004D081C"/>
    <w:rsid w:val="004D1D11"/>
    <w:rsid w:val="004D22E7"/>
    <w:rsid w:val="004D2C4E"/>
    <w:rsid w:val="004D4010"/>
    <w:rsid w:val="004D678B"/>
    <w:rsid w:val="004D7C95"/>
    <w:rsid w:val="004E0377"/>
    <w:rsid w:val="004E064F"/>
    <w:rsid w:val="004E08DD"/>
    <w:rsid w:val="004E1417"/>
    <w:rsid w:val="004E1B37"/>
    <w:rsid w:val="004E1C6D"/>
    <w:rsid w:val="004E1F4C"/>
    <w:rsid w:val="004E230A"/>
    <w:rsid w:val="004E35D9"/>
    <w:rsid w:val="004E6ED0"/>
    <w:rsid w:val="004E6F00"/>
    <w:rsid w:val="004E6F14"/>
    <w:rsid w:val="004E774F"/>
    <w:rsid w:val="004F0028"/>
    <w:rsid w:val="004F0EE4"/>
    <w:rsid w:val="004F3984"/>
    <w:rsid w:val="004F650A"/>
    <w:rsid w:val="004F7AFE"/>
    <w:rsid w:val="005003CE"/>
    <w:rsid w:val="00501013"/>
    <w:rsid w:val="005035F1"/>
    <w:rsid w:val="005040A1"/>
    <w:rsid w:val="00505515"/>
    <w:rsid w:val="00505D7A"/>
    <w:rsid w:val="00505DE0"/>
    <w:rsid w:val="005104EE"/>
    <w:rsid w:val="0051078F"/>
    <w:rsid w:val="00510FD0"/>
    <w:rsid w:val="005111D5"/>
    <w:rsid w:val="005116A5"/>
    <w:rsid w:val="00514435"/>
    <w:rsid w:val="00515E38"/>
    <w:rsid w:val="0051673D"/>
    <w:rsid w:val="00516C6C"/>
    <w:rsid w:val="00517C38"/>
    <w:rsid w:val="0052019E"/>
    <w:rsid w:val="00520AEE"/>
    <w:rsid w:val="00520D60"/>
    <w:rsid w:val="00521789"/>
    <w:rsid w:val="00521FE2"/>
    <w:rsid w:val="0052328B"/>
    <w:rsid w:val="00524588"/>
    <w:rsid w:val="00524C96"/>
    <w:rsid w:val="00526134"/>
    <w:rsid w:val="00526161"/>
    <w:rsid w:val="00526B6F"/>
    <w:rsid w:val="0053086C"/>
    <w:rsid w:val="00530A08"/>
    <w:rsid w:val="005319EE"/>
    <w:rsid w:val="00531B63"/>
    <w:rsid w:val="00531D17"/>
    <w:rsid w:val="00532298"/>
    <w:rsid w:val="005325AB"/>
    <w:rsid w:val="0053571E"/>
    <w:rsid w:val="005361A2"/>
    <w:rsid w:val="00541E8E"/>
    <w:rsid w:val="005428FC"/>
    <w:rsid w:val="00543BE3"/>
    <w:rsid w:val="00545834"/>
    <w:rsid w:val="005461CA"/>
    <w:rsid w:val="00546843"/>
    <w:rsid w:val="005501B0"/>
    <w:rsid w:val="0055116E"/>
    <w:rsid w:val="00551912"/>
    <w:rsid w:val="00552D84"/>
    <w:rsid w:val="00553C40"/>
    <w:rsid w:val="0055440B"/>
    <w:rsid w:val="005549F1"/>
    <w:rsid w:val="00554C64"/>
    <w:rsid w:val="00554ECD"/>
    <w:rsid w:val="005553F3"/>
    <w:rsid w:val="005577E6"/>
    <w:rsid w:val="005608DF"/>
    <w:rsid w:val="00561856"/>
    <w:rsid w:val="00561DC2"/>
    <w:rsid w:val="00562913"/>
    <w:rsid w:val="00562DEB"/>
    <w:rsid w:val="00564D7E"/>
    <w:rsid w:val="00565F92"/>
    <w:rsid w:val="00566373"/>
    <w:rsid w:val="005710B4"/>
    <w:rsid w:val="0057125A"/>
    <w:rsid w:val="005733BF"/>
    <w:rsid w:val="00573B70"/>
    <w:rsid w:val="00574606"/>
    <w:rsid w:val="005750B9"/>
    <w:rsid w:val="00575541"/>
    <w:rsid w:val="00576133"/>
    <w:rsid w:val="00576EC9"/>
    <w:rsid w:val="005816D7"/>
    <w:rsid w:val="00582116"/>
    <w:rsid w:val="0058285F"/>
    <w:rsid w:val="005830DE"/>
    <w:rsid w:val="00585005"/>
    <w:rsid w:val="0058611A"/>
    <w:rsid w:val="0058766A"/>
    <w:rsid w:val="00587E75"/>
    <w:rsid w:val="0059146A"/>
    <w:rsid w:val="00591D80"/>
    <w:rsid w:val="005947C8"/>
    <w:rsid w:val="00595E0E"/>
    <w:rsid w:val="00596463"/>
    <w:rsid w:val="00596DC5"/>
    <w:rsid w:val="005971EC"/>
    <w:rsid w:val="00597AC4"/>
    <w:rsid w:val="005A0CF5"/>
    <w:rsid w:val="005A0E47"/>
    <w:rsid w:val="005A1496"/>
    <w:rsid w:val="005A1D5E"/>
    <w:rsid w:val="005A2C81"/>
    <w:rsid w:val="005A35D9"/>
    <w:rsid w:val="005A39D6"/>
    <w:rsid w:val="005A43BC"/>
    <w:rsid w:val="005A65E2"/>
    <w:rsid w:val="005B223A"/>
    <w:rsid w:val="005B2823"/>
    <w:rsid w:val="005B387B"/>
    <w:rsid w:val="005B4B4D"/>
    <w:rsid w:val="005B6BDC"/>
    <w:rsid w:val="005C1635"/>
    <w:rsid w:val="005C2B88"/>
    <w:rsid w:val="005C313C"/>
    <w:rsid w:val="005D0103"/>
    <w:rsid w:val="005D0717"/>
    <w:rsid w:val="005D1530"/>
    <w:rsid w:val="005D28BF"/>
    <w:rsid w:val="005D2D59"/>
    <w:rsid w:val="005D31D6"/>
    <w:rsid w:val="005D3982"/>
    <w:rsid w:val="005D4659"/>
    <w:rsid w:val="005D4BC1"/>
    <w:rsid w:val="005D79B2"/>
    <w:rsid w:val="005E14F9"/>
    <w:rsid w:val="005E20A3"/>
    <w:rsid w:val="005E296D"/>
    <w:rsid w:val="005E2AFF"/>
    <w:rsid w:val="005E307B"/>
    <w:rsid w:val="005E3A90"/>
    <w:rsid w:val="005E4066"/>
    <w:rsid w:val="005E4460"/>
    <w:rsid w:val="005E7E50"/>
    <w:rsid w:val="005F08F1"/>
    <w:rsid w:val="005F39B7"/>
    <w:rsid w:val="005F52FB"/>
    <w:rsid w:val="005F555D"/>
    <w:rsid w:val="005F5596"/>
    <w:rsid w:val="005F5D04"/>
    <w:rsid w:val="005F6D94"/>
    <w:rsid w:val="005F6EB0"/>
    <w:rsid w:val="005F7BEE"/>
    <w:rsid w:val="006012E5"/>
    <w:rsid w:val="00602B9F"/>
    <w:rsid w:val="0060392D"/>
    <w:rsid w:val="0060426E"/>
    <w:rsid w:val="006042CE"/>
    <w:rsid w:val="00605BB1"/>
    <w:rsid w:val="00606E87"/>
    <w:rsid w:val="006078CD"/>
    <w:rsid w:val="00612281"/>
    <w:rsid w:val="00612500"/>
    <w:rsid w:val="006152A0"/>
    <w:rsid w:val="00615F7B"/>
    <w:rsid w:val="0061609F"/>
    <w:rsid w:val="0061728F"/>
    <w:rsid w:val="00617307"/>
    <w:rsid w:val="00622056"/>
    <w:rsid w:val="006221C1"/>
    <w:rsid w:val="00623270"/>
    <w:rsid w:val="00624775"/>
    <w:rsid w:val="00625347"/>
    <w:rsid w:val="00627309"/>
    <w:rsid w:val="00627B99"/>
    <w:rsid w:val="00627C11"/>
    <w:rsid w:val="00630797"/>
    <w:rsid w:val="00630856"/>
    <w:rsid w:val="00631004"/>
    <w:rsid w:val="00631398"/>
    <w:rsid w:val="00631CF5"/>
    <w:rsid w:val="00632B31"/>
    <w:rsid w:val="00633A77"/>
    <w:rsid w:val="00634337"/>
    <w:rsid w:val="006343CF"/>
    <w:rsid w:val="00634B24"/>
    <w:rsid w:val="00634B6C"/>
    <w:rsid w:val="00636080"/>
    <w:rsid w:val="00636445"/>
    <w:rsid w:val="006364D4"/>
    <w:rsid w:val="0064048E"/>
    <w:rsid w:val="00641B00"/>
    <w:rsid w:val="00642BB7"/>
    <w:rsid w:val="006449D4"/>
    <w:rsid w:val="00644F48"/>
    <w:rsid w:val="00645DCB"/>
    <w:rsid w:val="00650260"/>
    <w:rsid w:val="00650501"/>
    <w:rsid w:val="0065514B"/>
    <w:rsid w:val="00657949"/>
    <w:rsid w:val="006579ED"/>
    <w:rsid w:val="00657B81"/>
    <w:rsid w:val="0066172D"/>
    <w:rsid w:val="00666545"/>
    <w:rsid w:val="006665EE"/>
    <w:rsid w:val="00666887"/>
    <w:rsid w:val="00666E90"/>
    <w:rsid w:val="006673D1"/>
    <w:rsid w:val="006673ED"/>
    <w:rsid w:val="00671412"/>
    <w:rsid w:val="0067518D"/>
    <w:rsid w:val="00676490"/>
    <w:rsid w:val="00677FF5"/>
    <w:rsid w:val="00680BE0"/>
    <w:rsid w:val="00681DBB"/>
    <w:rsid w:val="006840DB"/>
    <w:rsid w:val="0068550B"/>
    <w:rsid w:val="00685F4C"/>
    <w:rsid w:val="00687064"/>
    <w:rsid w:val="00687769"/>
    <w:rsid w:val="00691E4B"/>
    <w:rsid w:val="0069279E"/>
    <w:rsid w:val="00692EE8"/>
    <w:rsid w:val="006931F9"/>
    <w:rsid w:val="006955AE"/>
    <w:rsid w:val="00695ACD"/>
    <w:rsid w:val="00697964"/>
    <w:rsid w:val="006A1654"/>
    <w:rsid w:val="006A1DEE"/>
    <w:rsid w:val="006A24F4"/>
    <w:rsid w:val="006A2E7E"/>
    <w:rsid w:val="006A325B"/>
    <w:rsid w:val="006A32E0"/>
    <w:rsid w:val="006A61E1"/>
    <w:rsid w:val="006A798F"/>
    <w:rsid w:val="006B1376"/>
    <w:rsid w:val="006B2C5A"/>
    <w:rsid w:val="006B2EBF"/>
    <w:rsid w:val="006B4378"/>
    <w:rsid w:val="006B50A6"/>
    <w:rsid w:val="006B55BA"/>
    <w:rsid w:val="006B5950"/>
    <w:rsid w:val="006B6BBC"/>
    <w:rsid w:val="006B75C6"/>
    <w:rsid w:val="006C00D5"/>
    <w:rsid w:val="006C01E4"/>
    <w:rsid w:val="006C1E20"/>
    <w:rsid w:val="006C22C1"/>
    <w:rsid w:val="006C2F85"/>
    <w:rsid w:val="006C37F4"/>
    <w:rsid w:val="006C5007"/>
    <w:rsid w:val="006C53C7"/>
    <w:rsid w:val="006C5438"/>
    <w:rsid w:val="006C55BA"/>
    <w:rsid w:val="006C639E"/>
    <w:rsid w:val="006C734A"/>
    <w:rsid w:val="006D06C3"/>
    <w:rsid w:val="006D0A4B"/>
    <w:rsid w:val="006D42A7"/>
    <w:rsid w:val="006D42F3"/>
    <w:rsid w:val="006D4FBF"/>
    <w:rsid w:val="006D5204"/>
    <w:rsid w:val="006D582E"/>
    <w:rsid w:val="006D58C4"/>
    <w:rsid w:val="006D6C56"/>
    <w:rsid w:val="006D722F"/>
    <w:rsid w:val="006E263C"/>
    <w:rsid w:val="006E4BA9"/>
    <w:rsid w:val="006E56BA"/>
    <w:rsid w:val="006E6DF3"/>
    <w:rsid w:val="006E6E3A"/>
    <w:rsid w:val="006E7123"/>
    <w:rsid w:val="006E7645"/>
    <w:rsid w:val="006E7816"/>
    <w:rsid w:val="006F03C2"/>
    <w:rsid w:val="006F1B4A"/>
    <w:rsid w:val="006F24C1"/>
    <w:rsid w:val="006F2B4C"/>
    <w:rsid w:val="006F2E37"/>
    <w:rsid w:val="006F3013"/>
    <w:rsid w:val="006F4FFB"/>
    <w:rsid w:val="006F572E"/>
    <w:rsid w:val="006F6766"/>
    <w:rsid w:val="006F69DF"/>
    <w:rsid w:val="006F6A58"/>
    <w:rsid w:val="00703135"/>
    <w:rsid w:val="00703445"/>
    <w:rsid w:val="00703A98"/>
    <w:rsid w:val="007041A2"/>
    <w:rsid w:val="0070611B"/>
    <w:rsid w:val="007067E3"/>
    <w:rsid w:val="00706D9D"/>
    <w:rsid w:val="0070756D"/>
    <w:rsid w:val="00707FC5"/>
    <w:rsid w:val="0071076D"/>
    <w:rsid w:val="00711852"/>
    <w:rsid w:val="00711FE7"/>
    <w:rsid w:val="007144EC"/>
    <w:rsid w:val="00715A5E"/>
    <w:rsid w:val="007160DC"/>
    <w:rsid w:val="007166AD"/>
    <w:rsid w:val="007170CE"/>
    <w:rsid w:val="00717CB3"/>
    <w:rsid w:val="007207DA"/>
    <w:rsid w:val="00720B26"/>
    <w:rsid w:val="007220AF"/>
    <w:rsid w:val="00722D0B"/>
    <w:rsid w:val="007232C0"/>
    <w:rsid w:val="00726D51"/>
    <w:rsid w:val="00727758"/>
    <w:rsid w:val="00730755"/>
    <w:rsid w:val="00733ED0"/>
    <w:rsid w:val="00734232"/>
    <w:rsid w:val="00734B8C"/>
    <w:rsid w:val="007355AF"/>
    <w:rsid w:val="00735B08"/>
    <w:rsid w:val="00735D21"/>
    <w:rsid w:val="00735F2E"/>
    <w:rsid w:val="007403F7"/>
    <w:rsid w:val="007425F7"/>
    <w:rsid w:val="00743F6B"/>
    <w:rsid w:val="00744411"/>
    <w:rsid w:val="00745190"/>
    <w:rsid w:val="00746D50"/>
    <w:rsid w:val="00747D89"/>
    <w:rsid w:val="00750082"/>
    <w:rsid w:val="00750EB5"/>
    <w:rsid w:val="0075130C"/>
    <w:rsid w:val="00752D3F"/>
    <w:rsid w:val="00754BDC"/>
    <w:rsid w:val="00756683"/>
    <w:rsid w:val="007568AC"/>
    <w:rsid w:val="007602B5"/>
    <w:rsid w:val="0076168C"/>
    <w:rsid w:val="00761752"/>
    <w:rsid w:val="00761E7C"/>
    <w:rsid w:val="0076228D"/>
    <w:rsid w:val="00763107"/>
    <w:rsid w:val="00763BB9"/>
    <w:rsid w:val="00764C14"/>
    <w:rsid w:val="00765CF9"/>
    <w:rsid w:val="007668D1"/>
    <w:rsid w:val="0076733A"/>
    <w:rsid w:val="00767A13"/>
    <w:rsid w:val="00770E96"/>
    <w:rsid w:val="00771184"/>
    <w:rsid w:val="007727BC"/>
    <w:rsid w:val="007742FF"/>
    <w:rsid w:val="00776D1F"/>
    <w:rsid w:val="00781ACB"/>
    <w:rsid w:val="00782783"/>
    <w:rsid w:val="00783ED8"/>
    <w:rsid w:val="00784277"/>
    <w:rsid w:val="00784518"/>
    <w:rsid w:val="00785677"/>
    <w:rsid w:val="007862EC"/>
    <w:rsid w:val="007866B6"/>
    <w:rsid w:val="00786743"/>
    <w:rsid w:val="0079078C"/>
    <w:rsid w:val="00790799"/>
    <w:rsid w:val="007921FC"/>
    <w:rsid w:val="00792342"/>
    <w:rsid w:val="0079314B"/>
    <w:rsid w:val="007936CB"/>
    <w:rsid w:val="00793762"/>
    <w:rsid w:val="00793E81"/>
    <w:rsid w:val="0079569A"/>
    <w:rsid w:val="00797774"/>
    <w:rsid w:val="007A0A07"/>
    <w:rsid w:val="007A4F72"/>
    <w:rsid w:val="007A51BE"/>
    <w:rsid w:val="007A5FE3"/>
    <w:rsid w:val="007A6BCF"/>
    <w:rsid w:val="007A6ED9"/>
    <w:rsid w:val="007A7100"/>
    <w:rsid w:val="007A7742"/>
    <w:rsid w:val="007B042A"/>
    <w:rsid w:val="007B0617"/>
    <w:rsid w:val="007B0DCC"/>
    <w:rsid w:val="007B0E59"/>
    <w:rsid w:val="007B21C9"/>
    <w:rsid w:val="007B3097"/>
    <w:rsid w:val="007B3377"/>
    <w:rsid w:val="007B3463"/>
    <w:rsid w:val="007B362C"/>
    <w:rsid w:val="007B43E3"/>
    <w:rsid w:val="007B4488"/>
    <w:rsid w:val="007B46D2"/>
    <w:rsid w:val="007B4C2D"/>
    <w:rsid w:val="007B521A"/>
    <w:rsid w:val="007B5E91"/>
    <w:rsid w:val="007C136D"/>
    <w:rsid w:val="007C1A75"/>
    <w:rsid w:val="007C31BC"/>
    <w:rsid w:val="007C334B"/>
    <w:rsid w:val="007C3A48"/>
    <w:rsid w:val="007C3BA3"/>
    <w:rsid w:val="007C3EE4"/>
    <w:rsid w:val="007C420D"/>
    <w:rsid w:val="007C5CAE"/>
    <w:rsid w:val="007D2B5F"/>
    <w:rsid w:val="007D2F5C"/>
    <w:rsid w:val="007D681A"/>
    <w:rsid w:val="007D76B1"/>
    <w:rsid w:val="007D7F32"/>
    <w:rsid w:val="007E0B60"/>
    <w:rsid w:val="007E13C9"/>
    <w:rsid w:val="007E1674"/>
    <w:rsid w:val="007E27FF"/>
    <w:rsid w:val="007E31E5"/>
    <w:rsid w:val="007E6BC3"/>
    <w:rsid w:val="007E7E56"/>
    <w:rsid w:val="007F1949"/>
    <w:rsid w:val="007F1B6D"/>
    <w:rsid w:val="007F33A1"/>
    <w:rsid w:val="007F4E55"/>
    <w:rsid w:val="007F5214"/>
    <w:rsid w:val="007F5BC7"/>
    <w:rsid w:val="007F698B"/>
    <w:rsid w:val="007F6A5E"/>
    <w:rsid w:val="007F6CAF"/>
    <w:rsid w:val="007F7AC7"/>
    <w:rsid w:val="00800E99"/>
    <w:rsid w:val="008010BD"/>
    <w:rsid w:val="0080288F"/>
    <w:rsid w:val="00804F6F"/>
    <w:rsid w:val="00805936"/>
    <w:rsid w:val="00805D14"/>
    <w:rsid w:val="00806BDC"/>
    <w:rsid w:val="00812B65"/>
    <w:rsid w:val="00813982"/>
    <w:rsid w:val="00813CF3"/>
    <w:rsid w:val="00814046"/>
    <w:rsid w:val="00816C82"/>
    <w:rsid w:val="008175AC"/>
    <w:rsid w:val="0081771F"/>
    <w:rsid w:val="00817888"/>
    <w:rsid w:val="0082088E"/>
    <w:rsid w:val="00820C1B"/>
    <w:rsid w:val="00820CC3"/>
    <w:rsid w:val="00821285"/>
    <w:rsid w:val="0082143D"/>
    <w:rsid w:val="00821C06"/>
    <w:rsid w:val="00821C8E"/>
    <w:rsid w:val="00821D87"/>
    <w:rsid w:val="008230A6"/>
    <w:rsid w:val="00823804"/>
    <w:rsid w:val="00823F05"/>
    <w:rsid w:val="00830423"/>
    <w:rsid w:val="0083115D"/>
    <w:rsid w:val="008316E6"/>
    <w:rsid w:val="0083236E"/>
    <w:rsid w:val="00832BF7"/>
    <w:rsid w:val="008353E8"/>
    <w:rsid w:val="00840072"/>
    <w:rsid w:val="00840361"/>
    <w:rsid w:val="00842301"/>
    <w:rsid w:val="008435BE"/>
    <w:rsid w:val="00844630"/>
    <w:rsid w:val="008456FA"/>
    <w:rsid w:val="00846B46"/>
    <w:rsid w:val="00847028"/>
    <w:rsid w:val="00850110"/>
    <w:rsid w:val="00851B4F"/>
    <w:rsid w:val="008525AF"/>
    <w:rsid w:val="0085361F"/>
    <w:rsid w:val="008539FD"/>
    <w:rsid w:val="00853B6E"/>
    <w:rsid w:val="008547C3"/>
    <w:rsid w:val="00855A16"/>
    <w:rsid w:val="008566A0"/>
    <w:rsid w:val="008572CF"/>
    <w:rsid w:val="00857959"/>
    <w:rsid w:val="00857A72"/>
    <w:rsid w:val="00857FC1"/>
    <w:rsid w:val="008605E2"/>
    <w:rsid w:val="00860932"/>
    <w:rsid w:val="00864795"/>
    <w:rsid w:val="00866473"/>
    <w:rsid w:val="008676E7"/>
    <w:rsid w:val="0086786E"/>
    <w:rsid w:val="00867A63"/>
    <w:rsid w:val="00867AA3"/>
    <w:rsid w:val="00867AFC"/>
    <w:rsid w:val="00870E93"/>
    <w:rsid w:val="00871583"/>
    <w:rsid w:val="00871B14"/>
    <w:rsid w:val="00872FD1"/>
    <w:rsid w:val="00873167"/>
    <w:rsid w:val="008733BB"/>
    <w:rsid w:val="00873502"/>
    <w:rsid w:val="008741F9"/>
    <w:rsid w:val="0087449E"/>
    <w:rsid w:val="00875B32"/>
    <w:rsid w:val="00876266"/>
    <w:rsid w:val="00876A80"/>
    <w:rsid w:val="00880006"/>
    <w:rsid w:val="00880CBB"/>
    <w:rsid w:val="008815BF"/>
    <w:rsid w:val="0088504B"/>
    <w:rsid w:val="00886C6F"/>
    <w:rsid w:val="00887282"/>
    <w:rsid w:val="00887AB3"/>
    <w:rsid w:val="008900B8"/>
    <w:rsid w:val="00890FFC"/>
    <w:rsid w:val="00891058"/>
    <w:rsid w:val="008918E1"/>
    <w:rsid w:val="00891E67"/>
    <w:rsid w:val="00892ACF"/>
    <w:rsid w:val="008932D5"/>
    <w:rsid w:val="008934B3"/>
    <w:rsid w:val="0089350D"/>
    <w:rsid w:val="008939E8"/>
    <w:rsid w:val="00893C6A"/>
    <w:rsid w:val="00894811"/>
    <w:rsid w:val="00895B8C"/>
    <w:rsid w:val="008965E2"/>
    <w:rsid w:val="00897458"/>
    <w:rsid w:val="008A03E4"/>
    <w:rsid w:val="008A0506"/>
    <w:rsid w:val="008A14A3"/>
    <w:rsid w:val="008A18B6"/>
    <w:rsid w:val="008A194B"/>
    <w:rsid w:val="008A259A"/>
    <w:rsid w:val="008A25B4"/>
    <w:rsid w:val="008A2750"/>
    <w:rsid w:val="008A457D"/>
    <w:rsid w:val="008A5C5C"/>
    <w:rsid w:val="008A5D24"/>
    <w:rsid w:val="008A64C1"/>
    <w:rsid w:val="008A663A"/>
    <w:rsid w:val="008B0238"/>
    <w:rsid w:val="008B065A"/>
    <w:rsid w:val="008B075C"/>
    <w:rsid w:val="008B0D03"/>
    <w:rsid w:val="008B104D"/>
    <w:rsid w:val="008B1981"/>
    <w:rsid w:val="008B1DAD"/>
    <w:rsid w:val="008B22AD"/>
    <w:rsid w:val="008B32BE"/>
    <w:rsid w:val="008B366A"/>
    <w:rsid w:val="008B3C79"/>
    <w:rsid w:val="008B4FB2"/>
    <w:rsid w:val="008B50C2"/>
    <w:rsid w:val="008B5138"/>
    <w:rsid w:val="008B5301"/>
    <w:rsid w:val="008B6149"/>
    <w:rsid w:val="008B6602"/>
    <w:rsid w:val="008C09E6"/>
    <w:rsid w:val="008C0CB7"/>
    <w:rsid w:val="008C10AC"/>
    <w:rsid w:val="008C1A56"/>
    <w:rsid w:val="008C1C97"/>
    <w:rsid w:val="008C3134"/>
    <w:rsid w:val="008C3BE9"/>
    <w:rsid w:val="008C44EF"/>
    <w:rsid w:val="008C72FC"/>
    <w:rsid w:val="008C7A9C"/>
    <w:rsid w:val="008D0F44"/>
    <w:rsid w:val="008D18B0"/>
    <w:rsid w:val="008D2A32"/>
    <w:rsid w:val="008D3ED0"/>
    <w:rsid w:val="008D4723"/>
    <w:rsid w:val="008D4868"/>
    <w:rsid w:val="008D5A2C"/>
    <w:rsid w:val="008D70BB"/>
    <w:rsid w:val="008E0149"/>
    <w:rsid w:val="008E0A37"/>
    <w:rsid w:val="008E1396"/>
    <w:rsid w:val="008E148B"/>
    <w:rsid w:val="008E1765"/>
    <w:rsid w:val="008E1FD8"/>
    <w:rsid w:val="008E2D34"/>
    <w:rsid w:val="008E2FB5"/>
    <w:rsid w:val="008E3725"/>
    <w:rsid w:val="008E481B"/>
    <w:rsid w:val="008E4EFB"/>
    <w:rsid w:val="008E6ADB"/>
    <w:rsid w:val="008F11CD"/>
    <w:rsid w:val="008F2486"/>
    <w:rsid w:val="008F35F7"/>
    <w:rsid w:val="008F473B"/>
    <w:rsid w:val="008F4DB4"/>
    <w:rsid w:val="008F5157"/>
    <w:rsid w:val="008F553C"/>
    <w:rsid w:val="008F6108"/>
    <w:rsid w:val="009000EA"/>
    <w:rsid w:val="00900EE7"/>
    <w:rsid w:val="0090152D"/>
    <w:rsid w:val="00902505"/>
    <w:rsid w:val="009027DA"/>
    <w:rsid w:val="00904529"/>
    <w:rsid w:val="00904F7B"/>
    <w:rsid w:val="00906E77"/>
    <w:rsid w:val="0090707E"/>
    <w:rsid w:val="00907FCB"/>
    <w:rsid w:val="0091020E"/>
    <w:rsid w:val="00910F56"/>
    <w:rsid w:val="009114B4"/>
    <w:rsid w:val="00912168"/>
    <w:rsid w:val="00914B9A"/>
    <w:rsid w:val="0091526F"/>
    <w:rsid w:val="009154C4"/>
    <w:rsid w:val="00916602"/>
    <w:rsid w:val="00921E58"/>
    <w:rsid w:val="00923289"/>
    <w:rsid w:val="009244D5"/>
    <w:rsid w:val="009265F2"/>
    <w:rsid w:val="00926728"/>
    <w:rsid w:val="00931293"/>
    <w:rsid w:val="0093162A"/>
    <w:rsid w:val="00932CE6"/>
    <w:rsid w:val="0093310D"/>
    <w:rsid w:val="00933AC4"/>
    <w:rsid w:val="00933F04"/>
    <w:rsid w:val="0093501E"/>
    <w:rsid w:val="009365C2"/>
    <w:rsid w:val="00937CFC"/>
    <w:rsid w:val="00937DD1"/>
    <w:rsid w:val="00940B0B"/>
    <w:rsid w:val="009417FD"/>
    <w:rsid w:val="009436B2"/>
    <w:rsid w:val="00943DA1"/>
    <w:rsid w:val="009457E7"/>
    <w:rsid w:val="0094593B"/>
    <w:rsid w:val="00946612"/>
    <w:rsid w:val="00946D4C"/>
    <w:rsid w:val="0094783E"/>
    <w:rsid w:val="0095098D"/>
    <w:rsid w:val="00950F41"/>
    <w:rsid w:val="0095198C"/>
    <w:rsid w:val="00951A0F"/>
    <w:rsid w:val="00952541"/>
    <w:rsid w:val="009529C0"/>
    <w:rsid w:val="009529CF"/>
    <w:rsid w:val="00952D28"/>
    <w:rsid w:val="00955007"/>
    <w:rsid w:val="009553C1"/>
    <w:rsid w:val="00960FE7"/>
    <w:rsid w:val="00961C55"/>
    <w:rsid w:val="00963A2E"/>
    <w:rsid w:val="0097178A"/>
    <w:rsid w:val="00972CA1"/>
    <w:rsid w:val="00972CA5"/>
    <w:rsid w:val="00974478"/>
    <w:rsid w:val="0097542D"/>
    <w:rsid w:val="0097571B"/>
    <w:rsid w:val="00975E92"/>
    <w:rsid w:val="00976A9F"/>
    <w:rsid w:val="00977AE1"/>
    <w:rsid w:val="00980C75"/>
    <w:rsid w:val="00981689"/>
    <w:rsid w:val="00981847"/>
    <w:rsid w:val="00981D8D"/>
    <w:rsid w:val="00982F17"/>
    <w:rsid w:val="0098710F"/>
    <w:rsid w:val="009877A3"/>
    <w:rsid w:val="00987D65"/>
    <w:rsid w:val="00990795"/>
    <w:rsid w:val="00990A8B"/>
    <w:rsid w:val="00990E80"/>
    <w:rsid w:val="00992982"/>
    <w:rsid w:val="00992A9D"/>
    <w:rsid w:val="009944F8"/>
    <w:rsid w:val="009972C7"/>
    <w:rsid w:val="00997666"/>
    <w:rsid w:val="009A02B1"/>
    <w:rsid w:val="009A037D"/>
    <w:rsid w:val="009A1B07"/>
    <w:rsid w:val="009A391A"/>
    <w:rsid w:val="009A4244"/>
    <w:rsid w:val="009A4506"/>
    <w:rsid w:val="009A487E"/>
    <w:rsid w:val="009A520B"/>
    <w:rsid w:val="009A5727"/>
    <w:rsid w:val="009A5A60"/>
    <w:rsid w:val="009A681E"/>
    <w:rsid w:val="009A7763"/>
    <w:rsid w:val="009A7F0D"/>
    <w:rsid w:val="009B03EF"/>
    <w:rsid w:val="009B0416"/>
    <w:rsid w:val="009B1903"/>
    <w:rsid w:val="009B20B2"/>
    <w:rsid w:val="009B20CB"/>
    <w:rsid w:val="009B225A"/>
    <w:rsid w:val="009B2437"/>
    <w:rsid w:val="009B2590"/>
    <w:rsid w:val="009B4834"/>
    <w:rsid w:val="009B4B32"/>
    <w:rsid w:val="009B4C28"/>
    <w:rsid w:val="009B4FFC"/>
    <w:rsid w:val="009B5C66"/>
    <w:rsid w:val="009B673A"/>
    <w:rsid w:val="009B7149"/>
    <w:rsid w:val="009C0111"/>
    <w:rsid w:val="009C1827"/>
    <w:rsid w:val="009C1E49"/>
    <w:rsid w:val="009C3298"/>
    <w:rsid w:val="009C441D"/>
    <w:rsid w:val="009C4A9E"/>
    <w:rsid w:val="009C5F33"/>
    <w:rsid w:val="009C62D4"/>
    <w:rsid w:val="009C6BC1"/>
    <w:rsid w:val="009C71F5"/>
    <w:rsid w:val="009D2C52"/>
    <w:rsid w:val="009D48D1"/>
    <w:rsid w:val="009D5F95"/>
    <w:rsid w:val="009D6E30"/>
    <w:rsid w:val="009D70F9"/>
    <w:rsid w:val="009D7145"/>
    <w:rsid w:val="009E1A7A"/>
    <w:rsid w:val="009E2201"/>
    <w:rsid w:val="009E2572"/>
    <w:rsid w:val="009E2F8C"/>
    <w:rsid w:val="009E2F9C"/>
    <w:rsid w:val="009E3FC8"/>
    <w:rsid w:val="009F0606"/>
    <w:rsid w:val="009F171C"/>
    <w:rsid w:val="009F2447"/>
    <w:rsid w:val="009F2D9E"/>
    <w:rsid w:val="009F2ECE"/>
    <w:rsid w:val="009F51EB"/>
    <w:rsid w:val="009F739C"/>
    <w:rsid w:val="00A00C86"/>
    <w:rsid w:val="00A00D61"/>
    <w:rsid w:val="00A01763"/>
    <w:rsid w:val="00A03A2D"/>
    <w:rsid w:val="00A03B6C"/>
    <w:rsid w:val="00A044B0"/>
    <w:rsid w:val="00A06496"/>
    <w:rsid w:val="00A100F8"/>
    <w:rsid w:val="00A11003"/>
    <w:rsid w:val="00A1256E"/>
    <w:rsid w:val="00A131AF"/>
    <w:rsid w:val="00A137EF"/>
    <w:rsid w:val="00A13CD0"/>
    <w:rsid w:val="00A152C5"/>
    <w:rsid w:val="00A15E7D"/>
    <w:rsid w:val="00A16908"/>
    <w:rsid w:val="00A16EDC"/>
    <w:rsid w:val="00A17F5E"/>
    <w:rsid w:val="00A20197"/>
    <w:rsid w:val="00A207D9"/>
    <w:rsid w:val="00A20C4E"/>
    <w:rsid w:val="00A22687"/>
    <w:rsid w:val="00A23D2D"/>
    <w:rsid w:val="00A25900"/>
    <w:rsid w:val="00A267FF"/>
    <w:rsid w:val="00A311FA"/>
    <w:rsid w:val="00A31783"/>
    <w:rsid w:val="00A329F4"/>
    <w:rsid w:val="00A33089"/>
    <w:rsid w:val="00A33275"/>
    <w:rsid w:val="00A344A7"/>
    <w:rsid w:val="00A3669C"/>
    <w:rsid w:val="00A36969"/>
    <w:rsid w:val="00A37627"/>
    <w:rsid w:val="00A40319"/>
    <w:rsid w:val="00A41EC3"/>
    <w:rsid w:val="00A43108"/>
    <w:rsid w:val="00A4412E"/>
    <w:rsid w:val="00A4457B"/>
    <w:rsid w:val="00A45091"/>
    <w:rsid w:val="00A45BAB"/>
    <w:rsid w:val="00A45FDE"/>
    <w:rsid w:val="00A4681C"/>
    <w:rsid w:val="00A469A7"/>
    <w:rsid w:val="00A5089D"/>
    <w:rsid w:val="00A51FE5"/>
    <w:rsid w:val="00A53274"/>
    <w:rsid w:val="00A536C3"/>
    <w:rsid w:val="00A53816"/>
    <w:rsid w:val="00A54DF3"/>
    <w:rsid w:val="00A5618F"/>
    <w:rsid w:val="00A57350"/>
    <w:rsid w:val="00A60FB0"/>
    <w:rsid w:val="00A62CBB"/>
    <w:rsid w:val="00A634CC"/>
    <w:rsid w:val="00A64BCD"/>
    <w:rsid w:val="00A64FC8"/>
    <w:rsid w:val="00A701C0"/>
    <w:rsid w:val="00A70687"/>
    <w:rsid w:val="00A70B24"/>
    <w:rsid w:val="00A7242C"/>
    <w:rsid w:val="00A73D90"/>
    <w:rsid w:val="00A75122"/>
    <w:rsid w:val="00A75277"/>
    <w:rsid w:val="00A770AB"/>
    <w:rsid w:val="00A77D83"/>
    <w:rsid w:val="00A800C7"/>
    <w:rsid w:val="00A81012"/>
    <w:rsid w:val="00A81E38"/>
    <w:rsid w:val="00A82219"/>
    <w:rsid w:val="00A830B3"/>
    <w:rsid w:val="00A8473F"/>
    <w:rsid w:val="00A91A64"/>
    <w:rsid w:val="00A91D7E"/>
    <w:rsid w:val="00A92F86"/>
    <w:rsid w:val="00A94679"/>
    <w:rsid w:val="00A9477D"/>
    <w:rsid w:val="00A95F77"/>
    <w:rsid w:val="00AA2200"/>
    <w:rsid w:val="00AA2818"/>
    <w:rsid w:val="00AA309A"/>
    <w:rsid w:val="00AA4951"/>
    <w:rsid w:val="00AA54B6"/>
    <w:rsid w:val="00AA6703"/>
    <w:rsid w:val="00AA67A3"/>
    <w:rsid w:val="00AA7169"/>
    <w:rsid w:val="00AA74C0"/>
    <w:rsid w:val="00AA77B9"/>
    <w:rsid w:val="00AA7F91"/>
    <w:rsid w:val="00AB0C41"/>
    <w:rsid w:val="00AB30A9"/>
    <w:rsid w:val="00AB40CE"/>
    <w:rsid w:val="00AB4331"/>
    <w:rsid w:val="00AB439E"/>
    <w:rsid w:val="00AB4736"/>
    <w:rsid w:val="00AB665A"/>
    <w:rsid w:val="00AB6EFA"/>
    <w:rsid w:val="00AC28B5"/>
    <w:rsid w:val="00AC2B24"/>
    <w:rsid w:val="00AC31D0"/>
    <w:rsid w:val="00AC3B5F"/>
    <w:rsid w:val="00AC3E0F"/>
    <w:rsid w:val="00AC3F2A"/>
    <w:rsid w:val="00AC5797"/>
    <w:rsid w:val="00AD1CF4"/>
    <w:rsid w:val="00AD3E49"/>
    <w:rsid w:val="00AD59AF"/>
    <w:rsid w:val="00AD6327"/>
    <w:rsid w:val="00AE0846"/>
    <w:rsid w:val="00AE0A25"/>
    <w:rsid w:val="00AE1809"/>
    <w:rsid w:val="00AE3523"/>
    <w:rsid w:val="00AE5286"/>
    <w:rsid w:val="00AE5EE3"/>
    <w:rsid w:val="00AF203E"/>
    <w:rsid w:val="00AF2B89"/>
    <w:rsid w:val="00AF3980"/>
    <w:rsid w:val="00AF75B1"/>
    <w:rsid w:val="00AF7AAA"/>
    <w:rsid w:val="00B005D6"/>
    <w:rsid w:val="00B00E3E"/>
    <w:rsid w:val="00B01220"/>
    <w:rsid w:val="00B023B1"/>
    <w:rsid w:val="00B0249F"/>
    <w:rsid w:val="00B03507"/>
    <w:rsid w:val="00B05314"/>
    <w:rsid w:val="00B06396"/>
    <w:rsid w:val="00B06D71"/>
    <w:rsid w:val="00B07352"/>
    <w:rsid w:val="00B07E90"/>
    <w:rsid w:val="00B12812"/>
    <w:rsid w:val="00B12E79"/>
    <w:rsid w:val="00B1502E"/>
    <w:rsid w:val="00B16782"/>
    <w:rsid w:val="00B2004C"/>
    <w:rsid w:val="00B223FD"/>
    <w:rsid w:val="00B233CD"/>
    <w:rsid w:val="00B23924"/>
    <w:rsid w:val="00B239D6"/>
    <w:rsid w:val="00B23AF2"/>
    <w:rsid w:val="00B24B85"/>
    <w:rsid w:val="00B25915"/>
    <w:rsid w:val="00B25A43"/>
    <w:rsid w:val="00B26B86"/>
    <w:rsid w:val="00B278FD"/>
    <w:rsid w:val="00B30016"/>
    <w:rsid w:val="00B3119E"/>
    <w:rsid w:val="00B3168B"/>
    <w:rsid w:val="00B31B09"/>
    <w:rsid w:val="00B32CE3"/>
    <w:rsid w:val="00B330A3"/>
    <w:rsid w:val="00B3555C"/>
    <w:rsid w:val="00B367F1"/>
    <w:rsid w:val="00B37661"/>
    <w:rsid w:val="00B37D09"/>
    <w:rsid w:val="00B37D8E"/>
    <w:rsid w:val="00B422B8"/>
    <w:rsid w:val="00B424F8"/>
    <w:rsid w:val="00B42A11"/>
    <w:rsid w:val="00B42E46"/>
    <w:rsid w:val="00B43A71"/>
    <w:rsid w:val="00B51C38"/>
    <w:rsid w:val="00B52CC8"/>
    <w:rsid w:val="00B53657"/>
    <w:rsid w:val="00B55B6E"/>
    <w:rsid w:val="00B5685E"/>
    <w:rsid w:val="00B56EE4"/>
    <w:rsid w:val="00B56FA5"/>
    <w:rsid w:val="00B574F3"/>
    <w:rsid w:val="00B60E8D"/>
    <w:rsid w:val="00B62D59"/>
    <w:rsid w:val="00B632AD"/>
    <w:rsid w:val="00B64936"/>
    <w:rsid w:val="00B673A2"/>
    <w:rsid w:val="00B702F5"/>
    <w:rsid w:val="00B72618"/>
    <w:rsid w:val="00B75CEB"/>
    <w:rsid w:val="00B767B5"/>
    <w:rsid w:val="00B767EC"/>
    <w:rsid w:val="00B76EEA"/>
    <w:rsid w:val="00B7749C"/>
    <w:rsid w:val="00B81CAC"/>
    <w:rsid w:val="00B82369"/>
    <w:rsid w:val="00B8245E"/>
    <w:rsid w:val="00B82882"/>
    <w:rsid w:val="00B831F1"/>
    <w:rsid w:val="00B83EC0"/>
    <w:rsid w:val="00B84DE0"/>
    <w:rsid w:val="00B84EF6"/>
    <w:rsid w:val="00B857AA"/>
    <w:rsid w:val="00B86057"/>
    <w:rsid w:val="00B87013"/>
    <w:rsid w:val="00B901A5"/>
    <w:rsid w:val="00B908EA"/>
    <w:rsid w:val="00B91907"/>
    <w:rsid w:val="00B9194B"/>
    <w:rsid w:val="00B92DE6"/>
    <w:rsid w:val="00B93625"/>
    <w:rsid w:val="00B93AFB"/>
    <w:rsid w:val="00B94654"/>
    <w:rsid w:val="00B9492D"/>
    <w:rsid w:val="00B9509B"/>
    <w:rsid w:val="00B953B6"/>
    <w:rsid w:val="00B96E6E"/>
    <w:rsid w:val="00B96FDD"/>
    <w:rsid w:val="00B979BD"/>
    <w:rsid w:val="00B979E5"/>
    <w:rsid w:val="00B97DD2"/>
    <w:rsid w:val="00BA05B9"/>
    <w:rsid w:val="00BA07BA"/>
    <w:rsid w:val="00BA122F"/>
    <w:rsid w:val="00BA3A67"/>
    <w:rsid w:val="00BA3E9E"/>
    <w:rsid w:val="00BA3EB9"/>
    <w:rsid w:val="00BA449C"/>
    <w:rsid w:val="00BA54AF"/>
    <w:rsid w:val="00BA5FF9"/>
    <w:rsid w:val="00BB041D"/>
    <w:rsid w:val="00BB0C33"/>
    <w:rsid w:val="00BB1E8F"/>
    <w:rsid w:val="00BB4C14"/>
    <w:rsid w:val="00BB52F1"/>
    <w:rsid w:val="00BB67C3"/>
    <w:rsid w:val="00BB69E5"/>
    <w:rsid w:val="00BC0289"/>
    <w:rsid w:val="00BC0F5D"/>
    <w:rsid w:val="00BC2148"/>
    <w:rsid w:val="00BC305E"/>
    <w:rsid w:val="00BC3C2A"/>
    <w:rsid w:val="00BC4CBC"/>
    <w:rsid w:val="00BC5355"/>
    <w:rsid w:val="00BC5648"/>
    <w:rsid w:val="00BC5D02"/>
    <w:rsid w:val="00BC6B83"/>
    <w:rsid w:val="00BC6DDE"/>
    <w:rsid w:val="00BD06C1"/>
    <w:rsid w:val="00BD16E8"/>
    <w:rsid w:val="00BD388F"/>
    <w:rsid w:val="00BD3F64"/>
    <w:rsid w:val="00BD48E1"/>
    <w:rsid w:val="00BD5757"/>
    <w:rsid w:val="00BD5A8B"/>
    <w:rsid w:val="00BD72C9"/>
    <w:rsid w:val="00BD7822"/>
    <w:rsid w:val="00BE06DC"/>
    <w:rsid w:val="00BE14E2"/>
    <w:rsid w:val="00BE20BA"/>
    <w:rsid w:val="00BE34B2"/>
    <w:rsid w:val="00BE7A66"/>
    <w:rsid w:val="00BF1436"/>
    <w:rsid w:val="00BF3992"/>
    <w:rsid w:val="00BF4E56"/>
    <w:rsid w:val="00BF67A8"/>
    <w:rsid w:val="00C00070"/>
    <w:rsid w:val="00C029AD"/>
    <w:rsid w:val="00C03924"/>
    <w:rsid w:val="00C04508"/>
    <w:rsid w:val="00C0513B"/>
    <w:rsid w:val="00C05433"/>
    <w:rsid w:val="00C05C9F"/>
    <w:rsid w:val="00C06B9B"/>
    <w:rsid w:val="00C0765A"/>
    <w:rsid w:val="00C10976"/>
    <w:rsid w:val="00C113BF"/>
    <w:rsid w:val="00C11D55"/>
    <w:rsid w:val="00C12674"/>
    <w:rsid w:val="00C13325"/>
    <w:rsid w:val="00C13A33"/>
    <w:rsid w:val="00C13B6E"/>
    <w:rsid w:val="00C145FA"/>
    <w:rsid w:val="00C15788"/>
    <w:rsid w:val="00C16F58"/>
    <w:rsid w:val="00C1791D"/>
    <w:rsid w:val="00C2063F"/>
    <w:rsid w:val="00C214D0"/>
    <w:rsid w:val="00C22386"/>
    <w:rsid w:val="00C237F8"/>
    <w:rsid w:val="00C23CE0"/>
    <w:rsid w:val="00C24B37"/>
    <w:rsid w:val="00C315DF"/>
    <w:rsid w:val="00C334FE"/>
    <w:rsid w:val="00C33555"/>
    <w:rsid w:val="00C33930"/>
    <w:rsid w:val="00C33DFE"/>
    <w:rsid w:val="00C3456C"/>
    <w:rsid w:val="00C34C93"/>
    <w:rsid w:val="00C36489"/>
    <w:rsid w:val="00C370BB"/>
    <w:rsid w:val="00C37112"/>
    <w:rsid w:val="00C37315"/>
    <w:rsid w:val="00C3768E"/>
    <w:rsid w:val="00C37890"/>
    <w:rsid w:val="00C4005E"/>
    <w:rsid w:val="00C4127D"/>
    <w:rsid w:val="00C42674"/>
    <w:rsid w:val="00C42884"/>
    <w:rsid w:val="00C4478C"/>
    <w:rsid w:val="00C45AA1"/>
    <w:rsid w:val="00C46314"/>
    <w:rsid w:val="00C4683E"/>
    <w:rsid w:val="00C4698A"/>
    <w:rsid w:val="00C47D37"/>
    <w:rsid w:val="00C5105C"/>
    <w:rsid w:val="00C530A5"/>
    <w:rsid w:val="00C53D1D"/>
    <w:rsid w:val="00C54485"/>
    <w:rsid w:val="00C54AA5"/>
    <w:rsid w:val="00C56A2C"/>
    <w:rsid w:val="00C618BA"/>
    <w:rsid w:val="00C61AB4"/>
    <w:rsid w:val="00C61D27"/>
    <w:rsid w:val="00C6218F"/>
    <w:rsid w:val="00C63490"/>
    <w:rsid w:val="00C635C2"/>
    <w:rsid w:val="00C63907"/>
    <w:rsid w:val="00C63951"/>
    <w:rsid w:val="00C64016"/>
    <w:rsid w:val="00C656B7"/>
    <w:rsid w:val="00C65E72"/>
    <w:rsid w:val="00C65E97"/>
    <w:rsid w:val="00C66B90"/>
    <w:rsid w:val="00C67E1B"/>
    <w:rsid w:val="00C715EC"/>
    <w:rsid w:val="00C72AC0"/>
    <w:rsid w:val="00C72F3C"/>
    <w:rsid w:val="00C73C6B"/>
    <w:rsid w:val="00C74590"/>
    <w:rsid w:val="00C74FE3"/>
    <w:rsid w:val="00C76068"/>
    <w:rsid w:val="00C76496"/>
    <w:rsid w:val="00C77C28"/>
    <w:rsid w:val="00C77F2A"/>
    <w:rsid w:val="00C83A72"/>
    <w:rsid w:val="00C840AE"/>
    <w:rsid w:val="00C84EF9"/>
    <w:rsid w:val="00C861E1"/>
    <w:rsid w:val="00C86322"/>
    <w:rsid w:val="00C907A1"/>
    <w:rsid w:val="00C9355D"/>
    <w:rsid w:val="00C93BA7"/>
    <w:rsid w:val="00C93C59"/>
    <w:rsid w:val="00C9486C"/>
    <w:rsid w:val="00C94FAB"/>
    <w:rsid w:val="00C9522D"/>
    <w:rsid w:val="00C95372"/>
    <w:rsid w:val="00C95DA7"/>
    <w:rsid w:val="00C96E9E"/>
    <w:rsid w:val="00CA0158"/>
    <w:rsid w:val="00CA43B9"/>
    <w:rsid w:val="00CA6080"/>
    <w:rsid w:val="00CA6596"/>
    <w:rsid w:val="00CA7D9E"/>
    <w:rsid w:val="00CB0F0D"/>
    <w:rsid w:val="00CB2B84"/>
    <w:rsid w:val="00CB4F09"/>
    <w:rsid w:val="00CB50B7"/>
    <w:rsid w:val="00CB52F0"/>
    <w:rsid w:val="00CB5780"/>
    <w:rsid w:val="00CB6B2F"/>
    <w:rsid w:val="00CB79AD"/>
    <w:rsid w:val="00CC12B4"/>
    <w:rsid w:val="00CC1CFC"/>
    <w:rsid w:val="00CC3441"/>
    <w:rsid w:val="00CD0F9D"/>
    <w:rsid w:val="00CD2EC5"/>
    <w:rsid w:val="00CD324E"/>
    <w:rsid w:val="00CD4A1E"/>
    <w:rsid w:val="00CD50A4"/>
    <w:rsid w:val="00CD64A3"/>
    <w:rsid w:val="00CD7739"/>
    <w:rsid w:val="00CD79DD"/>
    <w:rsid w:val="00CD7B8D"/>
    <w:rsid w:val="00CE0454"/>
    <w:rsid w:val="00CE0EDB"/>
    <w:rsid w:val="00CE0F33"/>
    <w:rsid w:val="00CE23CF"/>
    <w:rsid w:val="00CE29C3"/>
    <w:rsid w:val="00CE3E77"/>
    <w:rsid w:val="00CE59F5"/>
    <w:rsid w:val="00CE5B4B"/>
    <w:rsid w:val="00CE7D74"/>
    <w:rsid w:val="00CF0147"/>
    <w:rsid w:val="00CF131F"/>
    <w:rsid w:val="00CF1802"/>
    <w:rsid w:val="00CF2942"/>
    <w:rsid w:val="00CF3088"/>
    <w:rsid w:val="00CF334F"/>
    <w:rsid w:val="00CF36A7"/>
    <w:rsid w:val="00CF3929"/>
    <w:rsid w:val="00CF3FC5"/>
    <w:rsid w:val="00CF6B15"/>
    <w:rsid w:val="00D00666"/>
    <w:rsid w:val="00D00F2B"/>
    <w:rsid w:val="00D01B6A"/>
    <w:rsid w:val="00D02587"/>
    <w:rsid w:val="00D02698"/>
    <w:rsid w:val="00D02EE1"/>
    <w:rsid w:val="00D032EC"/>
    <w:rsid w:val="00D03D3F"/>
    <w:rsid w:val="00D0462B"/>
    <w:rsid w:val="00D04E6E"/>
    <w:rsid w:val="00D0520A"/>
    <w:rsid w:val="00D058B8"/>
    <w:rsid w:val="00D06FA2"/>
    <w:rsid w:val="00D07027"/>
    <w:rsid w:val="00D10A0B"/>
    <w:rsid w:val="00D10C87"/>
    <w:rsid w:val="00D111B5"/>
    <w:rsid w:val="00D111E7"/>
    <w:rsid w:val="00D1378A"/>
    <w:rsid w:val="00D1401F"/>
    <w:rsid w:val="00D144B5"/>
    <w:rsid w:val="00D147AF"/>
    <w:rsid w:val="00D14EE7"/>
    <w:rsid w:val="00D1531E"/>
    <w:rsid w:val="00D169DE"/>
    <w:rsid w:val="00D208FC"/>
    <w:rsid w:val="00D20D94"/>
    <w:rsid w:val="00D214F3"/>
    <w:rsid w:val="00D228F6"/>
    <w:rsid w:val="00D2359A"/>
    <w:rsid w:val="00D247D2"/>
    <w:rsid w:val="00D2541E"/>
    <w:rsid w:val="00D254AF"/>
    <w:rsid w:val="00D2714C"/>
    <w:rsid w:val="00D324C1"/>
    <w:rsid w:val="00D32D5D"/>
    <w:rsid w:val="00D35429"/>
    <w:rsid w:val="00D35B18"/>
    <w:rsid w:val="00D362C0"/>
    <w:rsid w:val="00D40496"/>
    <w:rsid w:val="00D40D4E"/>
    <w:rsid w:val="00D41F6F"/>
    <w:rsid w:val="00D42512"/>
    <w:rsid w:val="00D4495F"/>
    <w:rsid w:val="00D4575A"/>
    <w:rsid w:val="00D50F44"/>
    <w:rsid w:val="00D513DC"/>
    <w:rsid w:val="00D520C5"/>
    <w:rsid w:val="00D530AC"/>
    <w:rsid w:val="00D55DCB"/>
    <w:rsid w:val="00D57A0E"/>
    <w:rsid w:val="00D60594"/>
    <w:rsid w:val="00D60E3F"/>
    <w:rsid w:val="00D6456E"/>
    <w:rsid w:val="00D66EF1"/>
    <w:rsid w:val="00D67CA8"/>
    <w:rsid w:val="00D711C1"/>
    <w:rsid w:val="00D7151B"/>
    <w:rsid w:val="00D71C0D"/>
    <w:rsid w:val="00D726D9"/>
    <w:rsid w:val="00D73151"/>
    <w:rsid w:val="00D75189"/>
    <w:rsid w:val="00D76499"/>
    <w:rsid w:val="00D76925"/>
    <w:rsid w:val="00D81432"/>
    <w:rsid w:val="00D81561"/>
    <w:rsid w:val="00D83247"/>
    <w:rsid w:val="00D8501E"/>
    <w:rsid w:val="00D90845"/>
    <w:rsid w:val="00D91E03"/>
    <w:rsid w:val="00D93F68"/>
    <w:rsid w:val="00D94F64"/>
    <w:rsid w:val="00D97536"/>
    <w:rsid w:val="00DA053B"/>
    <w:rsid w:val="00DA3233"/>
    <w:rsid w:val="00DA437A"/>
    <w:rsid w:val="00DA459F"/>
    <w:rsid w:val="00DA563B"/>
    <w:rsid w:val="00DA570B"/>
    <w:rsid w:val="00DB04C2"/>
    <w:rsid w:val="00DB09D9"/>
    <w:rsid w:val="00DB0BBD"/>
    <w:rsid w:val="00DB204B"/>
    <w:rsid w:val="00DB3099"/>
    <w:rsid w:val="00DB42A2"/>
    <w:rsid w:val="00DB46EF"/>
    <w:rsid w:val="00DB5B9B"/>
    <w:rsid w:val="00DC037A"/>
    <w:rsid w:val="00DC0F10"/>
    <w:rsid w:val="00DC104D"/>
    <w:rsid w:val="00DC1395"/>
    <w:rsid w:val="00DC4280"/>
    <w:rsid w:val="00DC5DB4"/>
    <w:rsid w:val="00DC6B48"/>
    <w:rsid w:val="00DC6B8A"/>
    <w:rsid w:val="00DC6E5A"/>
    <w:rsid w:val="00DC74CE"/>
    <w:rsid w:val="00DD04E7"/>
    <w:rsid w:val="00DD28EF"/>
    <w:rsid w:val="00DD3E25"/>
    <w:rsid w:val="00DD408D"/>
    <w:rsid w:val="00DD4860"/>
    <w:rsid w:val="00DD5BC3"/>
    <w:rsid w:val="00DD654E"/>
    <w:rsid w:val="00DD7062"/>
    <w:rsid w:val="00DD70B9"/>
    <w:rsid w:val="00DD743E"/>
    <w:rsid w:val="00DD7AB7"/>
    <w:rsid w:val="00DE02BA"/>
    <w:rsid w:val="00DE235A"/>
    <w:rsid w:val="00DE2E45"/>
    <w:rsid w:val="00DE4023"/>
    <w:rsid w:val="00DE48F8"/>
    <w:rsid w:val="00DF16BF"/>
    <w:rsid w:val="00DF26F5"/>
    <w:rsid w:val="00DF3412"/>
    <w:rsid w:val="00DF40F1"/>
    <w:rsid w:val="00DF4B3E"/>
    <w:rsid w:val="00DF4EBA"/>
    <w:rsid w:val="00DF68D3"/>
    <w:rsid w:val="00E00E24"/>
    <w:rsid w:val="00E017DC"/>
    <w:rsid w:val="00E01D24"/>
    <w:rsid w:val="00E02087"/>
    <w:rsid w:val="00E03C21"/>
    <w:rsid w:val="00E04D02"/>
    <w:rsid w:val="00E04DC6"/>
    <w:rsid w:val="00E05A2F"/>
    <w:rsid w:val="00E05E14"/>
    <w:rsid w:val="00E066C0"/>
    <w:rsid w:val="00E06D06"/>
    <w:rsid w:val="00E07AD5"/>
    <w:rsid w:val="00E10FFE"/>
    <w:rsid w:val="00E12772"/>
    <w:rsid w:val="00E12F74"/>
    <w:rsid w:val="00E15A43"/>
    <w:rsid w:val="00E15E4D"/>
    <w:rsid w:val="00E164FE"/>
    <w:rsid w:val="00E16D84"/>
    <w:rsid w:val="00E176CE"/>
    <w:rsid w:val="00E1777A"/>
    <w:rsid w:val="00E20030"/>
    <w:rsid w:val="00E20300"/>
    <w:rsid w:val="00E2242C"/>
    <w:rsid w:val="00E22523"/>
    <w:rsid w:val="00E237F2"/>
    <w:rsid w:val="00E2597E"/>
    <w:rsid w:val="00E25E9F"/>
    <w:rsid w:val="00E26377"/>
    <w:rsid w:val="00E270F2"/>
    <w:rsid w:val="00E309E6"/>
    <w:rsid w:val="00E32B86"/>
    <w:rsid w:val="00E32E93"/>
    <w:rsid w:val="00E3349E"/>
    <w:rsid w:val="00E335EA"/>
    <w:rsid w:val="00E34307"/>
    <w:rsid w:val="00E3542A"/>
    <w:rsid w:val="00E35801"/>
    <w:rsid w:val="00E35818"/>
    <w:rsid w:val="00E36226"/>
    <w:rsid w:val="00E367D2"/>
    <w:rsid w:val="00E430AE"/>
    <w:rsid w:val="00E4391E"/>
    <w:rsid w:val="00E45122"/>
    <w:rsid w:val="00E451A9"/>
    <w:rsid w:val="00E454CB"/>
    <w:rsid w:val="00E46A4D"/>
    <w:rsid w:val="00E46EAF"/>
    <w:rsid w:val="00E47042"/>
    <w:rsid w:val="00E470A5"/>
    <w:rsid w:val="00E47B37"/>
    <w:rsid w:val="00E5154C"/>
    <w:rsid w:val="00E51986"/>
    <w:rsid w:val="00E519A2"/>
    <w:rsid w:val="00E54B01"/>
    <w:rsid w:val="00E54E8E"/>
    <w:rsid w:val="00E5529B"/>
    <w:rsid w:val="00E553FF"/>
    <w:rsid w:val="00E55DCD"/>
    <w:rsid w:val="00E57560"/>
    <w:rsid w:val="00E601A3"/>
    <w:rsid w:val="00E609E8"/>
    <w:rsid w:val="00E61941"/>
    <w:rsid w:val="00E62317"/>
    <w:rsid w:val="00E63C65"/>
    <w:rsid w:val="00E64E28"/>
    <w:rsid w:val="00E653D6"/>
    <w:rsid w:val="00E6572B"/>
    <w:rsid w:val="00E66BCE"/>
    <w:rsid w:val="00E66E98"/>
    <w:rsid w:val="00E715BA"/>
    <w:rsid w:val="00E73046"/>
    <w:rsid w:val="00E73C6D"/>
    <w:rsid w:val="00E73D1A"/>
    <w:rsid w:val="00E74FC7"/>
    <w:rsid w:val="00E7753A"/>
    <w:rsid w:val="00E775E1"/>
    <w:rsid w:val="00E806C6"/>
    <w:rsid w:val="00E80944"/>
    <w:rsid w:val="00E80989"/>
    <w:rsid w:val="00E80B5E"/>
    <w:rsid w:val="00E81520"/>
    <w:rsid w:val="00E834DE"/>
    <w:rsid w:val="00E83A92"/>
    <w:rsid w:val="00E842CB"/>
    <w:rsid w:val="00E84976"/>
    <w:rsid w:val="00E84C72"/>
    <w:rsid w:val="00E85950"/>
    <w:rsid w:val="00E8627A"/>
    <w:rsid w:val="00E866F5"/>
    <w:rsid w:val="00E87480"/>
    <w:rsid w:val="00E87BF5"/>
    <w:rsid w:val="00E87D26"/>
    <w:rsid w:val="00E90EA8"/>
    <w:rsid w:val="00E9174D"/>
    <w:rsid w:val="00E94E80"/>
    <w:rsid w:val="00E965FD"/>
    <w:rsid w:val="00E976ED"/>
    <w:rsid w:val="00E97CC9"/>
    <w:rsid w:val="00EA112E"/>
    <w:rsid w:val="00EA2911"/>
    <w:rsid w:val="00EA3018"/>
    <w:rsid w:val="00EA45FB"/>
    <w:rsid w:val="00EA4A9E"/>
    <w:rsid w:val="00EA4B60"/>
    <w:rsid w:val="00EA5480"/>
    <w:rsid w:val="00EA79E5"/>
    <w:rsid w:val="00EB1BBC"/>
    <w:rsid w:val="00EB2ADB"/>
    <w:rsid w:val="00EB54DF"/>
    <w:rsid w:val="00EB5A74"/>
    <w:rsid w:val="00EB5C8A"/>
    <w:rsid w:val="00EB6CC1"/>
    <w:rsid w:val="00EB78C0"/>
    <w:rsid w:val="00EB7B1B"/>
    <w:rsid w:val="00EC0EC1"/>
    <w:rsid w:val="00EC13A9"/>
    <w:rsid w:val="00EC19DB"/>
    <w:rsid w:val="00EC2347"/>
    <w:rsid w:val="00EC387E"/>
    <w:rsid w:val="00EC3BEF"/>
    <w:rsid w:val="00EC459C"/>
    <w:rsid w:val="00EC4DDA"/>
    <w:rsid w:val="00EC4EC4"/>
    <w:rsid w:val="00EC5F05"/>
    <w:rsid w:val="00ED1AAB"/>
    <w:rsid w:val="00ED236C"/>
    <w:rsid w:val="00ED5708"/>
    <w:rsid w:val="00EE0EBB"/>
    <w:rsid w:val="00EE2B47"/>
    <w:rsid w:val="00EE2EF1"/>
    <w:rsid w:val="00EE3D93"/>
    <w:rsid w:val="00EE3F72"/>
    <w:rsid w:val="00EE55F2"/>
    <w:rsid w:val="00EE5746"/>
    <w:rsid w:val="00EE64FB"/>
    <w:rsid w:val="00EE7771"/>
    <w:rsid w:val="00EE7909"/>
    <w:rsid w:val="00EF02BF"/>
    <w:rsid w:val="00EF0514"/>
    <w:rsid w:val="00EF0EF6"/>
    <w:rsid w:val="00EF23DE"/>
    <w:rsid w:val="00EF2837"/>
    <w:rsid w:val="00EF47A0"/>
    <w:rsid w:val="00EF4DD5"/>
    <w:rsid w:val="00EF51C2"/>
    <w:rsid w:val="00EF594D"/>
    <w:rsid w:val="00EF680B"/>
    <w:rsid w:val="00EF7584"/>
    <w:rsid w:val="00F0262A"/>
    <w:rsid w:val="00F02CF7"/>
    <w:rsid w:val="00F06551"/>
    <w:rsid w:val="00F065D8"/>
    <w:rsid w:val="00F0692B"/>
    <w:rsid w:val="00F069AF"/>
    <w:rsid w:val="00F073B7"/>
    <w:rsid w:val="00F116B5"/>
    <w:rsid w:val="00F13CD6"/>
    <w:rsid w:val="00F13E74"/>
    <w:rsid w:val="00F14725"/>
    <w:rsid w:val="00F14741"/>
    <w:rsid w:val="00F1558A"/>
    <w:rsid w:val="00F15600"/>
    <w:rsid w:val="00F16D02"/>
    <w:rsid w:val="00F16FC0"/>
    <w:rsid w:val="00F17859"/>
    <w:rsid w:val="00F21721"/>
    <w:rsid w:val="00F21741"/>
    <w:rsid w:val="00F2228D"/>
    <w:rsid w:val="00F2470E"/>
    <w:rsid w:val="00F26C17"/>
    <w:rsid w:val="00F31B14"/>
    <w:rsid w:val="00F31E62"/>
    <w:rsid w:val="00F335D5"/>
    <w:rsid w:val="00F34B3D"/>
    <w:rsid w:val="00F358D5"/>
    <w:rsid w:val="00F35A31"/>
    <w:rsid w:val="00F35C20"/>
    <w:rsid w:val="00F376B3"/>
    <w:rsid w:val="00F418C2"/>
    <w:rsid w:val="00F41B41"/>
    <w:rsid w:val="00F42195"/>
    <w:rsid w:val="00F43923"/>
    <w:rsid w:val="00F446A4"/>
    <w:rsid w:val="00F44A56"/>
    <w:rsid w:val="00F453AB"/>
    <w:rsid w:val="00F46FF1"/>
    <w:rsid w:val="00F47441"/>
    <w:rsid w:val="00F478C0"/>
    <w:rsid w:val="00F5073F"/>
    <w:rsid w:val="00F528B2"/>
    <w:rsid w:val="00F529C7"/>
    <w:rsid w:val="00F540E5"/>
    <w:rsid w:val="00F5543C"/>
    <w:rsid w:val="00F5550A"/>
    <w:rsid w:val="00F55F10"/>
    <w:rsid w:val="00F572A7"/>
    <w:rsid w:val="00F57C6C"/>
    <w:rsid w:val="00F617B1"/>
    <w:rsid w:val="00F62A1A"/>
    <w:rsid w:val="00F62DF6"/>
    <w:rsid w:val="00F63407"/>
    <w:rsid w:val="00F6412B"/>
    <w:rsid w:val="00F64BD5"/>
    <w:rsid w:val="00F66019"/>
    <w:rsid w:val="00F66DE5"/>
    <w:rsid w:val="00F676D9"/>
    <w:rsid w:val="00F67D5E"/>
    <w:rsid w:val="00F700D4"/>
    <w:rsid w:val="00F701B1"/>
    <w:rsid w:val="00F70CA1"/>
    <w:rsid w:val="00F70E40"/>
    <w:rsid w:val="00F71957"/>
    <w:rsid w:val="00F719BE"/>
    <w:rsid w:val="00F729F6"/>
    <w:rsid w:val="00F74EC8"/>
    <w:rsid w:val="00F751FA"/>
    <w:rsid w:val="00F75960"/>
    <w:rsid w:val="00F75AB8"/>
    <w:rsid w:val="00F76120"/>
    <w:rsid w:val="00F80428"/>
    <w:rsid w:val="00F8048F"/>
    <w:rsid w:val="00F807C4"/>
    <w:rsid w:val="00F81208"/>
    <w:rsid w:val="00F818CE"/>
    <w:rsid w:val="00F82409"/>
    <w:rsid w:val="00F82845"/>
    <w:rsid w:val="00F83880"/>
    <w:rsid w:val="00F842F7"/>
    <w:rsid w:val="00F86D65"/>
    <w:rsid w:val="00F87E7D"/>
    <w:rsid w:val="00F921C9"/>
    <w:rsid w:val="00F93009"/>
    <w:rsid w:val="00F94183"/>
    <w:rsid w:val="00F94325"/>
    <w:rsid w:val="00F94420"/>
    <w:rsid w:val="00F9457A"/>
    <w:rsid w:val="00F94901"/>
    <w:rsid w:val="00F96B06"/>
    <w:rsid w:val="00FA0A0A"/>
    <w:rsid w:val="00FA1571"/>
    <w:rsid w:val="00FA5752"/>
    <w:rsid w:val="00FA5FC9"/>
    <w:rsid w:val="00FA650F"/>
    <w:rsid w:val="00FA7B25"/>
    <w:rsid w:val="00FB1BFB"/>
    <w:rsid w:val="00FB3BB0"/>
    <w:rsid w:val="00FB43F4"/>
    <w:rsid w:val="00FB52EE"/>
    <w:rsid w:val="00FB602C"/>
    <w:rsid w:val="00FB6827"/>
    <w:rsid w:val="00FC000B"/>
    <w:rsid w:val="00FC10BF"/>
    <w:rsid w:val="00FC1C26"/>
    <w:rsid w:val="00FC2512"/>
    <w:rsid w:val="00FC4D96"/>
    <w:rsid w:val="00FC5DE3"/>
    <w:rsid w:val="00FC641E"/>
    <w:rsid w:val="00FC6B16"/>
    <w:rsid w:val="00FC7AAB"/>
    <w:rsid w:val="00FD175B"/>
    <w:rsid w:val="00FD1793"/>
    <w:rsid w:val="00FD1AEC"/>
    <w:rsid w:val="00FD254D"/>
    <w:rsid w:val="00FD2AD0"/>
    <w:rsid w:val="00FD3DBD"/>
    <w:rsid w:val="00FD6849"/>
    <w:rsid w:val="00FD7A04"/>
    <w:rsid w:val="00FE0E0F"/>
    <w:rsid w:val="00FE0F42"/>
    <w:rsid w:val="00FE2687"/>
    <w:rsid w:val="00FE2C03"/>
    <w:rsid w:val="00FE3CC7"/>
    <w:rsid w:val="00FE3D7A"/>
    <w:rsid w:val="00FE5DD4"/>
    <w:rsid w:val="00FE60D8"/>
    <w:rsid w:val="00FE656D"/>
    <w:rsid w:val="00FE705C"/>
    <w:rsid w:val="00FF13C3"/>
    <w:rsid w:val="00FF1981"/>
    <w:rsid w:val="00FF248B"/>
    <w:rsid w:val="00FF3C39"/>
    <w:rsid w:val="00FF3DBC"/>
    <w:rsid w:val="00FF4760"/>
    <w:rsid w:val="00FF66D9"/>
    <w:rsid w:val="00FF7D33"/>
    <w:rsid w:val="00FF7D76"/>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A1"/>
    <w:pPr>
      <w:widowControl w:val="0"/>
    </w:pPr>
  </w:style>
  <w:style w:type="paragraph" w:styleId="Heading1">
    <w:name w:val="heading 1"/>
    <w:basedOn w:val="Normal"/>
    <w:next w:val="Normal"/>
    <w:link w:val="Heading1Char"/>
    <w:uiPriority w:val="9"/>
    <w:qFormat/>
    <w:rsid w:val="00E80B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0B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B5E"/>
    <w:rPr>
      <w:rFonts w:asciiTheme="majorHAnsi" w:eastAsiaTheme="majorEastAsia" w:hAnsiTheme="majorHAnsi" w:cstheme="majorBidi"/>
      <w:b/>
      <w:bCs/>
      <w:color w:val="365F91" w:themeColor="accent1" w:themeShade="BF"/>
      <w:sz w:val="28"/>
      <w:szCs w:val="28"/>
    </w:rPr>
  </w:style>
  <w:style w:type="paragraph" w:customStyle="1" w:styleId="Work1">
    <w:name w:val="Work 1"/>
    <w:link w:val="Work1Char"/>
    <w:qFormat/>
    <w:rsid w:val="00C214D0"/>
    <w:pPr>
      <w:numPr>
        <w:numId w:val="2"/>
      </w:numPr>
      <w:spacing w:after="240" w:line="240" w:lineRule="auto"/>
      <w:ind w:left="1080"/>
    </w:pPr>
    <w:rPr>
      <w:rFonts w:ascii="Times New Roman" w:hAnsi="Times New Roman"/>
      <w:sz w:val="24"/>
    </w:rPr>
  </w:style>
  <w:style w:type="character" w:customStyle="1" w:styleId="Heading2Char">
    <w:name w:val="Heading 2 Char"/>
    <w:basedOn w:val="DefaultParagraphFont"/>
    <w:link w:val="Heading2"/>
    <w:uiPriority w:val="9"/>
    <w:semiHidden/>
    <w:rsid w:val="00E80B5E"/>
    <w:rPr>
      <w:rFonts w:asciiTheme="majorHAnsi" w:eastAsiaTheme="majorEastAsia" w:hAnsiTheme="majorHAnsi" w:cstheme="majorBidi"/>
      <w:b/>
      <w:bCs/>
      <w:color w:val="4F81BD" w:themeColor="accent1"/>
      <w:sz w:val="26"/>
      <w:szCs w:val="26"/>
    </w:rPr>
  </w:style>
  <w:style w:type="character" w:customStyle="1" w:styleId="Work1Char">
    <w:name w:val="Work 1 Char"/>
    <w:basedOn w:val="DefaultParagraphFont"/>
    <w:link w:val="Work1"/>
    <w:rsid w:val="00C214D0"/>
    <w:rPr>
      <w:rFonts w:ascii="Times New Roman" w:hAnsi="Times New Roman"/>
      <w:sz w:val="24"/>
    </w:rPr>
  </w:style>
  <w:style w:type="paragraph" w:customStyle="1" w:styleId="Work2">
    <w:name w:val="Work 2"/>
    <w:basedOn w:val="Work1"/>
    <w:link w:val="Work2Char"/>
    <w:qFormat/>
    <w:rsid w:val="00E80B5E"/>
    <w:pPr>
      <w:numPr>
        <w:ilvl w:val="1"/>
      </w:numPr>
    </w:pPr>
  </w:style>
  <w:style w:type="paragraph" w:customStyle="1" w:styleId="Work3">
    <w:name w:val="Work 3"/>
    <w:basedOn w:val="Work2"/>
    <w:link w:val="Work3Char"/>
    <w:qFormat/>
    <w:rsid w:val="00E80B5E"/>
    <w:pPr>
      <w:numPr>
        <w:ilvl w:val="2"/>
      </w:numPr>
    </w:pPr>
  </w:style>
  <w:style w:type="character" w:customStyle="1" w:styleId="Work2Char">
    <w:name w:val="Work 2 Char"/>
    <w:basedOn w:val="Work1Char"/>
    <w:link w:val="Work2"/>
    <w:rsid w:val="00E80B5E"/>
    <w:rPr>
      <w:rFonts w:ascii="Times New Roman" w:hAnsi="Times New Roman"/>
      <w:sz w:val="24"/>
    </w:rPr>
  </w:style>
  <w:style w:type="paragraph" w:customStyle="1" w:styleId="Work4">
    <w:name w:val="Work 4"/>
    <w:basedOn w:val="Work3"/>
    <w:link w:val="Work4Char"/>
    <w:qFormat/>
    <w:rsid w:val="00E80B5E"/>
    <w:pPr>
      <w:numPr>
        <w:ilvl w:val="3"/>
      </w:numPr>
    </w:pPr>
  </w:style>
  <w:style w:type="character" w:customStyle="1" w:styleId="Work3Char">
    <w:name w:val="Work 3 Char"/>
    <w:basedOn w:val="Work2Char"/>
    <w:link w:val="Work3"/>
    <w:rsid w:val="00E80B5E"/>
    <w:rPr>
      <w:rFonts w:ascii="Times New Roman" w:hAnsi="Times New Roman"/>
      <w:sz w:val="24"/>
    </w:rPr>
  </w:style>
  <w:style w:type="paragraph" w:customStyle="1" w:styleId="Work5">
    <w:name w:val="Work 5"/>
    <w:basedOn w:val="Work4"/>
    <w:qFormat/>
    <w:rsid w:val="00E80B5E"/>
    <w:pPr>
      <w:numPr>
        <w:ilvl w:val="4"/>
      </w:numPr>
    </w:pPr>
  </w:style>
  <w:style w:type="character" w:customStyle="1" w:styleId="Work4Char">
    <w:name w:val="Work 4 Char"/>
    <w:basedOn w:val="Work3Char"/>
    <w:link w:val="Work4"/>
    <w:rsid w:val="00E80B5E"/>
    <w:rPr>
      <w:rFonts w:ascii="Times New Roman" w:hAnsi="Times New Roman"/>
      <w:sz w:val="24"/>
    </w:rPr>
  </w:style>
  <w:style w:type="paragraph" w:customStyle="1" w:styleId="Work6">
    <w:name w:val="Work 6"/>
    <w:basedOn w:val="Work5"/>
    <w:qFormat/>
    <w:rsid w:val="00E80B5E"/>
    <w:pPr>
      <w:numPr>
        <w:ilvl w:val="5"/>
      </w:numPr>
    </w:pPr>
  </w:style>
  <w:style w:type="paragraph" w:customStyle="1" w:styleId="Work7">
    <w:name w:val="Work 7"/>
    <w:basedOn w:val="Work6"/>
    <w:qFormat/>
    <w:rsid w:val="00E80B5E"/>
    <w:pPr>
      <w:numPr>
        <w:ilvl w:val="6"/>
      </w:numPr>
    </w:pPr>
  </w:style>
  <w:style w:type="paragraph" w:customStyle="1" w:styleId="Work8">
    <w:name w:val="Work 8"/>
    <w:basedOn w:val="Work7"/>
    <w:qFormat/>
    <w:rsid w:val="00E80B5E"/>
    <w:pPr>
      <w:numPr>
        <w:ilvl w:val="7"/>
      </w:numPr>
    </w:pPr>
  </w:style>
  <w:style w:type="paragraph" w:customStyle="1" w:styleId="Work9">
    <w:name w:val="Work 9"/>
    <w:basedOn w:val="Work8"/>
    <w:qFormat/>
    <w:rsid w:val="00E80B5E"/>
    <w:pPr>
      <w:numPr>
        <w:ilvl w:val="8"/>
      </w:numPr>
    </w:pPr>
  </w:style>
  <w:style w:type="numbering" w:customStyle="1" w:styleId="OutlineStyles">
    <w:name w:val="Outline Styles"/>
    <w:uiPriority w:val="99"/>
    <w:rsid w:val="00B422B8"/>
    <w:pPr>
      <w:numPr>
        <w:numId w:val="1"/>
      </w:numPr>
    </w:pPr>
  </w:style>
  <w:style w:type="paragraph" w:customStyle="1" w:styleId="WorkBase">
    <w:name w:val="Work Base"/>
    <w:basedOn w:val="Normal"/>
    <w:qFormat/>
    <w:rsid w:val="00715A5E"/>
    <w:pPr>
      <w:spacing w:after="240" w:line="240" w:lineRule="auto"/>
    </w:pPr>
    <w:rPr>
      <w:rFonts w:ascii="Times New Roman" w:hAnsi="Times New Roman"/>
      <w:sz w:val="24"/>
    </w:rPr>
  </w:style>
  <w:style w:type="paragraph" w:customStyle="1" w:styleId="BodySingle">
    <w:name w:val="*Body Single"/>
    <w:aliases w:val="bs"/>
    <w:basedOn w:val="Normal"/>
    <w:rsid w:val="00990A8B"/>
    <w:pPr>
      <w:spacing w:after="240" w:line="240" w:lineRule="auto"/>
    </w:pPr>
    <w:rPr>
      <w:rFonts w:ascii="Times New Roman" w:eastAsia="Times New Roman" w:hAnsi="Times New Roman" w:cs="Times New Roman"/>
      <w:sz w:val="24"/>
      <w:szCs w:val="20"/>
    </w:rPr>
  </w:style>
  <w:style w:type="paragraph" w:customStyle="1" w:styleId="outlineindent1">
    <w:name w:val="outline indent 1"/>
    <w:basedOn w:val="Normal"/>
    <w:next w:val="outlineindent2"/>
    <w:rsid w:val="00990A8B"/>
    <w:pPr>
      <w:numPr>
        <w:numId w:val="3"/>
      </w:numPr>
      <w:tabs>
        <w:tab w:val="clear" w:pos="0"/>
      </w:tabs>
      <w:spacing w:after="240" w:line="240" w:lineRule="auto"/>
      <w:outlineLvl w:val="0"/>
    </w:pPr>
    <w:rPr>
      <w:rFonts w:ascii="Times New Roman" w:eastAsia="Times New Roman" w:hAnsi="Times New Roman" w:cs="Times New Roman"/>
      <w:color w:val="000000"/>
      <w:sz w:val="24"/>
      <w:szCs w:val="24"/>
    </w:rPr>
  </w:style>
  <w:style w:type="paragraph" w:customStyle="1" w:styleId="outlineindent2">
    <w:name w:val="outline indent 2"/>
    <w:basedOn w:val="Normal"/>
    <w:rsid w:val="00990A8B"/>
    <w:pPr>
      <w:numPr>
        <w:ilvl w:val="1"/>
        <w:numId w:val="3"/>
      </w:numPr>
      <w:tabs>
        <w:tab w:val="clear" w:pos="0"/>
      </w:tabs>
      <w:spacing w:after="240" w:line="240" w:lineRule="auto"/>
      <w:outlineLvl w:val="1"/>
    </w:pPr>
    <w:rPr>
      <w:rFonts w:ascii="Times New Roman" w:eastAsia="Times New Roman" w:hAnsi="Times New Roman" w:cs="Times New Roman"/>
      <w:color w:val="000000"/>
      <w:sz w:val="24"/>
      <w:szCs w:val="24"/>
    </w:rPr>
  </w:style>
  <w:style w:type="paragraph" w:customStyle="1" w:styleId="outlineindent3">
    <w:name w:val="outline indent 3"/>
    <w:basedOn w:val="Normal"/>
    <w:rsid w:val="00990A8B"/>
    <w:pPr>
      <w:numPr>
        <w:ilvl w:val="2"/>
        <w:numId w:val="3"/>
      </w:numPr>
      <w:tabs>
        <w:tab w:val="clear" w:pos="0"/>
      </w:tabs>
      <w:spacing w:after="240" w:line="240" w:lineRule="auto"/>
      <w:outlineLvl w:val="2"/>
    </w:pPr>
    <w:rPr>
      <w:rFonts w:ascii="Times New Roman" w:eastAsia="Times New Roman" w:hAnsi="Times New Roman" w:cs="Times New Roman"/>
      <w:color w:val="000000"/>
      <w:sz w:val="24"/>
      <w:szCs w:val="24"/>
    </w:rPr>
  </w:style>
  <w:style w:type="paragraph" w:customStyle="1" w:styleId="outlineindent4">
    <w:name w:val="outline indent 4"/>
    <w:basedOn w:val="Normal"/>
    <w:rsid w:val="00990A8B"/>
    <w:pPr>
      <w:numPr>
        <w:ilvl w:val="3"/>
        <w:numId w:val="3"/>
      </w:numPr>
      <w:tabs>
        <w:tab w:val="clear" w:pos="0"/>
      </w:tabs>
      <w:spacing w:after="240" w:line="240" w:lineRule="auto"/>
      <w:outlineLvl w:val="3"/>
    </w:pPr>
    <w:rPr>
      <w:rFonts w:ascii="Times New Roman" w:eastAsia="Times New Roman" w:hAnsi="Times New Roman" w:cs="Times New Roman"/>
      <w:color w:val="000000"/>
      <w:sz w:val="24"/>
      <w:szCs w:val="24"/>
    </w:rPr>
  </w:style>
  <w:style w:type="paragraph" w:customStyle="1" w:styleId="outlineindent5">
    <w:name w:val="outline indent 5"/>
    <w:basedOn w:val="Normal"/>
    <w:rsid w:val="00990A8B"/>
    <w:pPr>
      <w:numPr>
        <w:ilvl w:val="4"/>
        <w:numId w:val="3"/>
      </w:numPr>
      <w:tabs>
        <w:tab w:val="clear" w:pos="0"/>
      </w:tabs>
      <w:spacing w:after="240" w:line="240" w:lineRule="auto"/>
      <w:outlineLvl w:val="4"/>
    </w:pPr>
    <w:rPr>
      <w:rFonts w:ascii="Times New Roman" w:eastAsia="Times New Roman" w:hAnsi="Times New Roman" w:cs="Times New Roman"/>
      <w:color w:val="000000"/>
      <w:sz w:val="24"/>
      <w:szCs w:val="24"/>
    </w:rPr>
  </w:style>
  <w:style w:type="paragraph" w:customStyle="1" w:styleId="outlineindent6">
    <w:name w:val="outline indent 6"/>
    <w:basedOn w:val="Normal"/>
    <w:rsid w:val="00990A8B"/>
    <w:pPr>
      <w:numPr>
        <w:ilvl w:val="5"/>
        <w:numId w:val="3"/>
      </w:numPr>
      <w:tabs>
        <w:tab w:val="clear" w:pos="0"/>
      </w:tabs>
      <w:spacing w:after="240" w:line="240" w:lineRule="auto"/>
      <w:outlineLvl w:val="5"/>
    </w:pPr>
    <w:rPr>
      <w:rFonts w:ascii="Times New Roman" w:eastAsia="Times New Roman" w:hAnsi="Times New Roman" w:cs="Times New Roman"/>
      <w:color w:val="000000"/>
      <w:sz w:val="24"/>
      <w:szCs w:val="24"/>
    </w:rPr>
  </w:style>
  <w:style w:type="paragraph" w:customStyle="1" w:styleId="outlineindent7">
    <w:name w:val="outline indent 7"/>
    <w:basedOn w:val="Normal"/>
    <w:rsid w:val="00990A8B"/>
    <w:pPr>
      <w:numPr>
        <w:ilvl w:val="6"/>
        <w:numId w:val="3"/>
      </w:numPr>
      <w:tabs>
        <w:tab w:val="clear" w:pos="0"/>
      </w:tabs>
      <w:spacing w:after="240" w:line="240" w:lineRule="auto"/>
      <w:outlineLvl w:val="6"/>
    </w:pPr>
    <w:rPr>
      <w:rFonts w:ascii="Times New Roman" w:eastAsia="Times New Roman" w:hAnsi="Times New Roman" w:cs="Times New Roman"/>
      <w:color w:val="000000"/>
      <w:sz w:val="24"/>
      <w:szCs w:val="24"/>
    </w:rPr>
  </w:style>
  <w:style w:type="paragraph" w:customStyle="1" w:styleId="outlineindent8">
    <w:name w:val="outline indent 8"/>
    <w:basedOn w:val="Normal"/>
    <w:rsid w:val="00990A8B"/>
    <w:pPr>
      <w:numPr>
        <w:ilvl w:val="7"/>
        <w:numId w:val="3"/>
      </w:numPr>
      <w:tabs>
        <w:tab w:val="clear" w:pos="0"/>
      </w:tabs>
      <w:spacing w:after="240" w:line="240" w:lineRule="auto"/>
      <w:outlineLvl w:val="7"/>
    </w:pPr>
    <w:rPr>
      <w:rFonts w:ascii="Times New Roman" w:eastAsia="Times New Roman" w:hAnsi="Times New Roman" w:cs="Times New Roman"/>
      <w:color w:val="000000"/>
      <w:sz w:val="24"/>
      <w:szCs w:val="24"/>
    </w:rPr>
  </w:style>
  <w:style w:type="paragraph" w:customStyle="1" w:styleId="outlineindent9">
    <w:name w:val="outline indent 9"/>
    <w:basedOn w:val="Normal"/>
    <w:rsid w:val="00990A8B"/>
    <w:pPr>
      <w:numPr>
        <w:ilvl w:val="8"/>
        <w:numId w:val="3"/>
      </w:numPr>
      <w:tabs>
        <w:tab w:val="clear" w:pos="0"/>
      </w:tabs>
      <w:spacing w:after="240" w:line="240" w:lineRule="auto"/>
      <w:outlineLvl w:val="8"/>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F33A1"/>
    <w:rPr>
      <w:color w:val="0000FF" w:themeColor="hyperlink"/>
      <w:u w:val="single"/>
    </w:rPr>
  </w:style>
  <w:style w:type="paragraph" w:styleId="ListParagraph">
    <w:name w:val="List Paragraph"/>
    <w:basedOn w:val="Normal"/>
    <w:uiPriority w:val="34"/>
    <w:qFormat/>
    <w:rsid w:val="007F33A1"/>
    <w:pPr>
      <w:ind w:left="720"/>
      <w:contextualSpacing/>
    </w:pPr>
  </w:style>
  <w:style w:type="paragraph" w:styleId="FootnoteText">
    <w:name w:val="footnote text"/>
    <w:basedOn w:val="Normal"/>
    <w:link w:val="FootnoteTextChar"/>
    <w:uiPriority w:val="99"/>
    <w:semiHidden/>
    <w:unhideWhenUsed/>
    <w:rsid w:val="00751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30C"/>
    <w:rPr>
      <w:sz w:val="20"/>
      <w:szCs w:val="20"/>
    </w:rPr>
  </w:style>
  <w:style w:type="character" w:styleId="FootnoteReference">
    <w:name w:val="footnote reference"/>
    <w:basedOn w:val="DefaultParagraphFont"/>
    <w:semiHidden/>
    <w:unhideWhenUsed/>
    <w:rsid w:val="0075130C"/>
    <w:rPr>
      <w:vertAlign w:val="superscript"/>
    </w:rPr>
  </w:style>
  <w:style w:type="paragraph" w:styleId="Header">
    <w:name w:val="header"/>
    <w:basedOn w:val="Normal"/>
    <w:link w:val="HeaderChar"/>
    <w:unhideWhenUsed/>
    <w:rsid w:val="00751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30C"/>
  </w:style>
  <w:style w:type="paragraph" w:styleId="Footer">
    <w:name w:val="footer"/>
    <w:basedOn w:val="Normal"/>
    <w:link w:val="FooterChar"/>
    <w:uiPriority w:val="99"/>
    <w:unhideWhenUsed/>
    <w:rsid w:val="00751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30C"/>
  </w:style>
  <w:style w:type="table" w:styleId="TableGrid">
    <w:name w:val="Table Grid"/>
    <w:basedOn w:val="TableNormal"/>
    <w:uiPriority w:val="59"/>
    <w:rsid w:val="00C9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C907A1"/>
    <w:pPr>
      <w:keepLines/>
      <w:widowControl/>
      <w:numPr>
        <w:ilvl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C907A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3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01C"/>
    <w:rPr>
      <w:rFonts w:ascii="Tahoma" w:hAnsi="Tahoma" w:cs="Tahoma"/>
      <w:sz w:val="16"/>
      <w:szCs w:val="16"/>
    </w:rPr>
  </w:style>
  <w:style w:type="paragraph" w:styleId="NoSpacing">
    <w:name w:val="No Spacing"/>
    <w:uiPriority w:val="1"/>
    <w:qFormat/>
    <w:rsid w:val="00975E9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wm-law.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kirkland@kwm-law.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14144</Words>
  <Characters>80621</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2017-01-13T18:57:00Z</dcterms:created>
  <dcterms:modified xsi:type="dcterms:W3CDTF">2017-01-13T18:57:00Z</dcterms:modified>
</cp:coreProperties>
</file>